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B37918" w:rsidRPr="009B40F2" w:rsidTr="00092412">
        <w:trPr>
          <w:trHeight w:val="1115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18" w:rsidRDefault="00B37918" w:rsidP="00457BA4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  <w:r w:rsidR="0045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457BA4" w:rsidRDefault="00457BA4" w:rsidP="004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BA4">
              <w:rPr>
                <w:rFonts w:ascii="Times New Roman" w:hAnsi="Times New Roman"/>
                <w:b/>
                <w:sz w:val="24"/>
                <w:szCs w:val="24"/>
              </w:rPr>
              <w:t>Gminny Ośrodek Pomocy Społecznej w Daszynie</w:t>
            </w:r>
          </w:p>
        </w:tc>
      </w:tr>
      <w:tr w:rsidR="00B37918" w:rsidRPr="009B40F2" w:rsidTr="00092412">
        <w:trPr>
          <w:trHeight w:val="444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18" w:rsidRPr="00457BA4" w:rsidRDefault="00B37918" w:rsidP="004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  <w:r w:rsidR="00457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BA4" w:rsidRPr="00457BA4">
              <w:rPr>
                <w:rFonts w:ascii="Times New Roman" w:hAnsi="Times New Roman"/>
                <w:b/>
                <w:sz w:val="24"/>
                <w:szCs w:val="24"/>
              </w:rPr>
              <w:t>Daszyna 34a, 99-107 Daszyna</w:t>
            </w: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Pr="00B329EA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457BA4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D95AD0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="001A10BF">
        <w:rPr>
          <w:rFonts w:ascii="Times New Roman" w:hAnsi="Times New Roman" w:cs="Times New Roman"/>
          <w:b/>
          <w:szCs w:val="24"/>
        </w:rPr>
        <w:t>orzeczeniem o </w:t>
      </w:r>
      <w:r w:rsidRPr="00943629">
        <w:rPr>
          <w:rFonts w:ascii="Times New Roman" w:hAnsi="Times New Roman" w:cs="Times New Roman"/>
          <w:b/>
          <w:szCs w:val="24"/>
        </w:rPr>
        <w:t>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</w:t>
      </w:r>
      <w:r w:rsidRPr="00943629">
        <w:rPr>
          <w:rFonts w:ascii="Times New Roman" w:hAnsi="Times New Roman" w:cs="Times New Roman"/>
          <w:szCs w:val="24"/>
        </w:rPr>
        <w:lastRenderedPageBreak/>
        <w:t xml:space="preserve">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="001A10BF">
        <w:rPr>
          <w:rFonts w:ascii="Times New Roman" w:hAnsi="Times New Roman"/>
          <w:b/>
          <w:sz w:val="24"/>
          <w:szCs w:val="24"/>
        </w:rPr>
        <w:t xml:space="preserve">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 w:rsidR="001A10BF"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1A10BF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</w:t>
      </w:r>
      <w:r w:rsidR="001A10BF">
        <w:rPr>
          <w:rFonts w:ascii="Times New Roman" w:hAnsi="Times New Roman"/>
          <w:i/>
          <w:sz w:val="24"/>
          <w:szCs w:val="24"/>
        </w:rPr>
        <w:t>ę dzieckiem, jeżeli wystąpiła z </w:t>
      </w:r>
      <w:r w:rsidR="00B802AE" w:rsidRPr="00A82B8F">
        <w:rPr>
          <w:rFonts w:ascii="Times New Roman" w:hAnsi="Times New Roman"/>
          <w:i/>
          <w:sz w:val="24"/>
          <w:szCs w:val="24"/>
        </w:rPr>
        <w:t>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pielęgnacyjne lub specjalny zasiłek opiekuńczy albo zasiłek</w:t>
      </w:r>
      <w:r w:rsidR="001A10BF">
        <w:rPr>
          <w:rFonts w:ascii="Times New Roman" w:hAnsi="Times New Roman"/>
          <w:b/>
          <w:bCs/>
          <w:sz w:val="24"/>
          <w:szCs w:val="24"/>
        </w:rPr>
        <w:t xml:space="preserve"> dla opiekuna, o którym mowa  w 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457BA4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.Organ,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457BA4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457BA4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457BA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457BA4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457BA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457BA4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457BA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457BA4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</w:t>
      </w:r>
      <w:r w:rsidR="001A10BF">
        <w:rPr>
          <w:rFonts w:ascii="Times New Roman" w:hAnsi="Times New Roman"/>
        </w:rPr>
        <w:t>j (Dz. U. z 2015 r. poz. 584, z </w:t>
      </w:r>
      <w:r w:rsidRPr="00F5387F">
        <w:rPr>
          <w:rFonts w:ascii="Times New Roman" w:hAnsi="Times New Roman"/>
        </w:rPr>
        <w:t>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 xml:space="preserve">utratą stypendium doktoranckiego określonego w art. 200 ust. 1 ustawy z </w:t>
      </w:r>
      <w:r w:rsidR="001A10BF">
        <w:rPr>
          <w:rFonts w:ascii="Times New Roman" w:hAnsi="Times New Roman"/>
        </w:rPr>
        <w:t>dnia 27 lipca 2005 r. – Prawo o </w:t>
      </w:r>
      <w:r w:rsidR="00B37918" w:rsidRPr="00F5387F">
        <w:rPr>
          <w:rFonts w:ascii="Times New Roman" w:hAnsi="Times New Roman"/>
        </w:rPr>
        <w:t>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 xml:space="preserve">uzyskaniem stypendium doktoranckiego określonego w art. 200 ust. 1 ustawy z </w:t>
      </w:r>
      <w:r w:rsidR="001A10BF">
        <w:rPr>
          <w:rFonts w:ascii="Times New Roman" w:hAnsi="Times New Roman"/>
        </w:rPr>
        <w:t>dnia 27 lipca 2005 r. – Prawo o </w:t>
      </w:r>
      <w:r w:rsidRPr="00F5387F">
        <w:rPr>
          <w:rFonts w:ascii="Times New Roman" w:hAnsi="Times New Roman"/>
        </w:rPr>
        <w:t>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</w:t>
      </w:r>
      <w:r w:rsidR="001A10BF">
        <w:rPr>
          <w:rFonts w:ascii="Times New Roman" w:hAnsi="Times New Roman"/>
          <w:sz w:val="24"/>
          <w:szCs w:val="24"/>
        </w:rPr>
        <w:t>e nie pozostaje/nie pozostają w </w:t>
      </w:r>
      <w:r w:rsidRPr="00261FB2">
        <w:rPr>
          <w:rFonts w:ascii="Times New Roman" w:hAnsi="Times New Roman"/>
          <w:sz w:val="24"/>
          <w:szCs w:val="24"/>
        </w:rPr>
        <w:t>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457BA4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1A10BF">
        <w:rPr>
          <w:rFonts w:ascii="Times New Roman" w:hAnsi="Times New Roman"/>
          <w:sz w:val="24"/>
          <w:szCs w:val="24"/>
        </w:rPr>
        <w:t xml:space="preserve"> w </w:t>
      </w:r>
      <w:r w:rsidRPr="00261FB2">
        <w:rPr>
          <w:rFonts w:ascii="Times New Roman" w:hAnsi="Times New Roman"/>
          <w:sz w:val="24"/>
          <w:szCs w:val="24"/>
        </w:rPr>
        <w:t>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457BA4">
        <w:rPr>
          <w:rFonts w:ascii="Times New Roman" w:hAnsi="Times New Roman"/>
          <w:bCs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457BA4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</w:t>
      </w:r>
      <w:r w:rsidR="001A10BF">
        <w:rPr>
          <w:rFonts w:ascii="Times New Roman" w:hAnsi="Times New Roman"/>
          <w:b/>
          <w:bCs/>
          <w:sz w:val="24"/>
          <w:szCs w:val="24"/>
        </w:rPr>
        <w:t>do świadczenia wychowawczego, w 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1A10BF">
        <w:rPr>
          <w:rFonts w:ascii="Times New Roman" w:hAnsi="Times New Roman"/>
          <w:b/>
          <w:bCs/>
          <w:sz w:val="24"/>
          <w:szCs w:val="24"/>
        </w:rPr>
        <w:t>oniecznością jego zwrotu wraz z </w:t>
      </w:r>
      <w:r w:rsidRPr="00261FB2">
        <w:rPr>
          <w:rFonts w:ascii="Times New Roman" w:hAnsi="Times New Roman"/>
          <w:b/>
          <w:bCs/>
          <w:sz w:val="24"/>
          <w:szCs w:val="24"/>
        </w:rPr>
        <w:t>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457BA4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1A10BF">
        <w:trPr>
          <w:jc w:val="center"/>
        </w:trPr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</w:t>
      </w:r>
      <w:r w:rsidR="001A10BF">
        <w:rPr>
          <w:rFonts w:ascii="Times New Roman" w:hAnsi="Times New Roman"/>
        </w:rPr>
        <w:t xml:space="preserve"> na pobyt czasowy udzielonego w </w:t>
      </w:r>
      <w:r w:rsidRPr="00FE0CB7">
        <w:rPr>
          <w:rFonts w:ascii="Times New Roman" w:hAnsi="Times New Roman"/>
        </w:rPr>
        <w:t>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="001A10BF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>Prawo do świadczenia wychowawczego przysługuje osobom, o których mowa w pkt 1 i 2, jeżeli zamieszkują na terytorium Rzeczypospolitej Polskiej przez okres, w którym mają otrzymywać świadczenie w</w:t>
      </w:r>
      <w:r w:rsidR="001A10BF">
        <w:rPr>
          <w:rFonts w:ascii="Times New Roman" w:hAnsi="Times New Roman"/>
        </w:rPr>
        <w:t>ychowawcze, chyba że przepisy o </w:t>
      </w:r>
      <w:r w:rsidRPr="00923AF5">
        <w:rPr>
          <w:rFonts w:ascii="Times New Roman" w:hAnsi="Times New Roman"/>
        </w:rPr>
        <w:t xml:space="preserve">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457BA4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1A10BF">
        <w:rPr>
          <w:rFonts w:ascii="Times New Roman" w:hAnsi="Times New Roman"/>
        </w:rPr>
        <w:t xml:space="preserve"> o pomocy państwa w </w:t>
      </w:r>
      <w:r w:rsidR="000737BA" w:rsidRPr="00FE0CB7">
        <w:rPr>
          <w:rFonts w:ascii="Times New Roman" w:hAnsi="Times New Roman"/>
        </w:rPr>
        <w:t>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</w:t>
      </w:r>
      <w:r w:rsidR="001A10BF">
        <w:rPr>
          <w:rFonts w:ascii="Times New Roman" w:hAnsi="Times New Roman"/>
        </w:rPr>
        <w:t>łatnie pełne utrzymanie, albo w </w:t>
      </w:r>
      <w:r w:rsidR="00B37918" w:rsidRPr="00FE0CB7">
        <w:rPr>
          <w:rFonts w:ascii="Times New Roman" w:hAnsi="Times New Roman"/>
        </w:rPr>
        <w:t>pieczy zastępczej (art. 8 pkt 2 ustawy</w:t>
      </w:r>
      <w:r w:rsidR="00457BA4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457BA4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="00457BA4">
        <w:rPr>
          <w:rFonts w:ascii="Times New Roman" w:hAnsi="Times New Roman"/>
          <w:iCs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="00457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OPODATKOWANIUPODATKIEM DOCHODOWYM OD OSÓB FIZYCZNYCH NA ZASADACH OKREŚLONYCHW ART. 27, ART. 30B,  ART. 30C, ART. 30E I ART. 30F USTAWY Z DNIA 26 LIPCA 1991 R. O PODATKU DOCHODOWYM ODOSÓB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1A10BF">
        <w:rPr>
          <w:rFonts w:ascii="Times New Roman" w:hAnsi="Times New Roman"/>
          <w:sz w:val="24"/>
          <w:szCs w:val="24"/>
        </w:rPr>
        <w:t>.. uzyskałam/uzyskałem dochód w </w:t>
      </w:r>
      <w:r w:rsidRPr="009B40F2">
        <w:rPr>
          <w:rFonts w:ascii="Times New Roman" w:hAnsi="Times New Roman"/>
          <w:sz w:val="24"/>
          <w:szCs w:val="24"/>
        </w:rPr>
        <w:t>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1A10BF">
        <w:rPr>
          <w:rFonts w:ascii="Times New Roman" w:hAnsi="Times New Roman"/>
        </w:rPr>
        <w:t>w przypadku ubiegania się o </w:t>
      </w:r>
      <w:r w:rsidR="00E7218D" w:rsidRPr="007E40B7">
        <w:rPr>
          <w:rFonts w:ascii="Times New Roman" w:hAnsi="Times New Roman"/>
        </w:rPr>
        <w:t xml:space="preserve">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</w:t>
      </w:r>
      <w:r w:rsidR="001A10BF">
        <w:rPr>
          <w:rFonts w:ascii="Times New Roman" w:hAnsi="Times New Roman"/>
        </w:rPr>
        <w:t>dach określonych w przepisach o </w:t>
      </w:r>
      <w:r w:rsidRPr="007E40B7">
        <w:rPr>
          <w:rFonts w:ascii="Times New Roman" w:hAnsi="Times New Roman"/>
        </w:rPr>
        <w:t>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="00457BA4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</w:t>
      </w:r>
      <w:r w:rsidR="001A10BF">
        <w:rPr>
          <w:rFonts w:ascii="Times New Roman" w:hAnsi="Times New Roman"/>
        </w:rPr>
        <w:t>zymusowym pobytem na robotach w </w:t>
      </w:r>
      <w:r w:rsidRPr="007E40B7">
        <w:rPr>
          <w:rFonts w:ascii="Times New Roman" w:hAnsi="Times New Roman"/>
        </w:rPr>
        <w:t>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środki bezzwrotnej pomocy zagranicznej otrzymywane od rządów państw obcych, organizacji międzynarodowych lub międzynarodowych instytucji finansowych pochodzące ze środków bezzwrotnej pomocy przyznanych na podstawie </w:t>
      </w:r>
      <w:r w:rsidRPr="007E40B7">
        <w:rPr>
          <w:rFonts w:ascii="Times New Roman" w:hAnsi="Times New Roman"/>
        </w:rPr>
        <w:lastRenderedPageBreak/>
        <w:t>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</w:t>
      </w:r>
      <w:r w:rsidR="001A10BF">
        <w:rPr>
          <w:rFonts w:ascii="Times New Roman" w:hAnsi="Times New Roman"/>
        </w:rPr>
        <w:t>974 r. – Kodeks pracy (Dz. U. z </w:t>
      </w:r>
      <w:r w:rsidRPr="007E40B7">
        <w:rPr>
          <w:rFonts w:ascii="Times New Roman" w:hAnsi="Times New Roman"/>
        </w:rPr>
        <w:t>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</w:t>
      </w:r>
      <w:r w:rsidR="001A10BF">
        <w:rPr>
          <w:rFonts w:ascii="Times New Roman" w:hAnsi="Times New Roman"/>
        </w:rPr>
        <w:t>ich z </w:t>
      </w:r>
      <w:r w:rsidRPr="007E40B7">
        <w:rPr>
          <w:rFonts w:ascii="Times New Roman" w:hAnsi="Times New Roman"/>
        </w:rPr>
        <w:t>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</w:t>
      </w:r>
      <w:r w:rsidRPr="007E40B7">
        <w:rPr>
          <w:rFonts w:ascii="Times New Roman" w:hAnsi="Times New Roman"/>
        </w:rPr>
        <w:lastRenderedPageBreak/>
        <w:t>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</w:t>
      </w:r>
      <w:r w:rsidR="001A10BF">
        <w:rPr>
          <w:rFonts w:ascii="Times New Roman" w:hAnsi="Times New Roman"/>
        </w:rPr>
        <w:t>ocjalnym, wynikające z ustawy z </w:t>
      </w:r>
      <w:r w:rsidRPr="007E40B7">
        <w:rPr>
          <w:rFonts w:ascii="Times New Roman" w:hAnsi="Times New Roman"/>
        </w:rPr>
        <w:t>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rPr>
          <w:rFonts w:ascii="Times New Roman" w:hAnsi="Times New Roman"/>
          <w:sz w:val="24"/>
          <w:szCs w:val="24"/>
        </w:rPr>
      </w:pPr>
    </w:p>
    <w:p w:rsidR="00457BA4" w:rsidRDefault="00457BA4" w:rsidP="00A82B8F">
      <w:pPr>
        <w:rPr>
          <w:rFonts w:ascii="Times New Roman" w:hAnsi="Times New Roman"/>
          <w:sz w:val="24"/>
          <w:szCs w:val="24"/>
        </w:rPr>
      </w:pPr>
    </w:p>
    <w:p w:rsidR="00457BA4" w:rsidRDefault="00457BA4" w:rsidP="00A82B8F">
      <w:pPr>
        <w:rPr>
          <w:rFonts w:ascii="Times New Roman" w:hAnsi="Times New Roman"/>
          <w:sz w:val="24"/>
          <w:szCs w:val="24"/>
        </w:rPr>
      </w:pPr>
    </w:p>
    <w:p w:rsidR="00457BA4" w:rsidRDefault="00457BA4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PRZEPISÓWO ZRYCZAŁTOWANYM PODATKU DOCHODOWYM OD NIEKTÓRYCH PRZYCHODÓW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="00457BA4">
        <w:rPr>
          <w:rFonts w:ascii="Times New Roman" w:hAnsi="Times New Roman"/>
          <w:iCs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7BA4" w:rsidRDefault="00457B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ROLNEGOWYRAŻONEJ W HEKTARACH PRZELICZENIOWYCH OGÓLNEJ POWIERZCHNI W ROKUKALENDARZOWYM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="001A10BF">
        <w:rPr>
          <w:rFonts w:ascii="Times New Roman" w:hAnsi="Times New Roman"/>
          <w:iCs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F9" w:rsidRDefault="009E01F9" w:rsidP="00B66BAD">
      <w:r>
        <w:separator/>
      </w:r>
    </w:p>
  </w:endnote>
  <w:endnote w:type="continuationSeparator" w:id="1">
    <w:p w:rsidR="009E01F9" w:rsidRDefault="009E01F9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4B0A73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1A10BF">
      <w:rPr>
        <w:noProof/>
      </w:rPr>
      <w:t>14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F9" w:rsidRDefault="009E01F9" w:rsidP="00B66BAD">
      <w:r>
        <w:separator/>
      </w:r>
    </w:p>
  </w:footnote>
  <w:footnote w:type="continuationSeparator" w:id="1">
    <w:p w:rsidR="009E01F9" w:rsidRDefault="009E01F9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NotTrackFormatting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918"/>
    <w:rsid w:val="00002756"/>
    <w:rsid w:val="00021C52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2412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10BF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05C6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B6D03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57BA4"/>
    <w:rsid w:val="00463EF4"/>
    <w:rsid w:val="0049508E"/>
    <w:rsid w:val="004A2821"/>
    <w:rsid w:val="004B0A73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01F9"/>
    <w:rsid w:val="009E14C8"/>
    <w:rsid w:val="009F5D6D"/>
    <w:rsid w:val="00A21BA1"/>
    <w:rsid w:val="00A27676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29EA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BF5209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5AD0"/>
    <w:rsid w:val="00D96845"/>
    <w:rsid w:val="00DA2C92"/>
    <w:rsid w:val="00DB3F65"/>
    <w:rsid w:val="00DC600F"/>
    <w:rsid w:val="00DC793C"/>
    <w:rsid w:val="00DD14C8"/>
    <w:rsid w:val="00DD204D"/>
    <w:rsid w:val="00DF15D8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2A2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5AD0"/>
    <w:rPr>
      <w:rFonts w:ascii="Verdana" w:eastAsia="Times New Roman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1742-BC2A-46CF-AB84-1C6A29C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5082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kamil</cp:lastModifiedBy>
  <cp:revision>7</cp:revision>
  <cp:lastPrinted>2016-02-17T17:17:00Z</cp:lastPrinted>
  <dcterms:created xsi:type="dcterms:W3CDTF">2016-03-10T09:39:00Z</dcterms:created>
  <dcterms:modified xsi:type="dcterms:W3CDTF">2016-03-10T13:34:00Z</dcterms:modified>
</cp:coreProperties>
</file>