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4D9133B3" w:rsidR="00805DDE" w:rsidRDefault="00871940"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 xml:space="preserve">      </w:t>
      </w:r>
      <w:r w:rsidR="00805DDE">
        <w:rPr>
          <w:rFonts w:ascii="Tahoma" w:hAnsi="Tahoma"/>
          <w:b/>
          <w:sz w:val="22"/>
          <w:szCs w:val="24"/>
          <w:lang w:val="pl-PL"/>
        </w:rPr>
        <w:t>ZATWIERDZAM</w:t>
      </w:r>
    </w:p>
    <w:p w14:paraId="0AA2FCEB" w14:textId="466C8E05" w:rsidR="00805DDE" w:rsidRDefault="00805DDE" w:rsidP="00805DDE">
      <w:pPr>
        <w:pStyle w:val="pkt"/>
        <w:spacing w:before="0" w:after="0" w:line="300" w:lineRule="auto"/>
        <w:jc w:val="center"/>
        <w:rPr>
          <w:rFonts w:ascii="Tahoma" w:hAnsi="Tahoma"/>
          <w:b/>
          <w:sz w:val="22"/>
          <w:lang w:val="pl-PL"/>
        </w:rPr>
      </w:pPr>
      <w:r>
        <w:rPr>
          <w:rFonts w:ascii="Tahoma" w:hAnsi="Tahoma"/>
          <w:b/>
          <w:sz w:val="22"/>
          <w:lang w:val="pl-PL"/>
        </w:rPr>
        <w:t xml:space="preserve">Wójt </w:t>
      </w:r>
      <w:r w:rsidR="00697F09">
        <w:rPr>
          <w:rFonts w:ascii="Tahoma" w:hAnsi="Tahoma"/>
          <w:b/>
          <w:sz w:val="22"/>
          <w:lang w:val="pl-PL"/>
        </w:rPr>
        <w:t>Gmi</w:t>
      </w:r>
      <w:r w:rsidR="00871940">
        <w:rPr>
          <w:rFonts w:ascii="Tahoma" w:hAnsi="Tahoma"/>
          <w:b/>
          <w:sz w:val="22"/>
          <w:lang w:val="pl-PL"/>
        </w:rPr>
        <w:t>ny Daszyna</w:t>
      </w:r>
    </w:p>
    <w:p w14:paraId="29CD83F6" w14:textId="5D9395B8" w:rsidR="00805DDE" w:rsidRDefault="001417C6" w:rsidP="00805DDE">
      <w:pPr>
        <w:pStyle w:val="Nagwek9"/>
        <w:numPr>
          <w:ilvl w:val="0"/>
          <w:numId w:val="0"/>
        </w:numPr>
        <w:spacing w:line="300" w:lineRule="auto"/>
        <w:jc w:val="center"/>
        <w:rPr>
          <w:rFonts w:ascii="Tahoma" w:hAnsi="Tahoma" w:cs="Verdana"/>
          <w:i w:val="0"/>
          <w:iCs w:val="0"/>
          <w:sz w:val="22"/>
          <w:lang w:val="pl-PL"/>
        </w:rPr>
      </w:pPr>
      <w:bookmarkStart w:id="0" w:name="_Ref305140660"/>
      <w:r>
        <w:rPr>
          <w:rFonts w:ascii="Tahoma" w:hAnsi="Tahoma" w:cs="Verdana"/>
          <w:i w:val="0"/>
          <w:iCs w:val="0"/>
          <w:sz w:val="22"/>
          <w:lang w:val="pl-PL"/>
        </w:rPr>
        <w:t xml:space="preserve">Daszyna, dnia </w:t>
      </w:r>
      <w:r w:rsidR="003F450D">
        <w:rPr>
          <w:rFonts w:ascii="Tahoma" w:hAnsi="Tahoma" w:cs="Verdana"/>
          <w:i w:val="0"/>
          <w:iCs w:val="0"/>
          <w:sz w:val="22"/>
          <w:lang w:val="pl-PL"/>
        </w:rPr>
        <w:t>11</w:t>
      </w:r>
      <w:r>
        <w:rPr>
          <w:rFonts w:ascii="Tahoma" w:hAnsi="Tahoma" w:cs="Verdana"/>
          <w:i w:val="0"/>
          <w:iCs w:val="0"/>
          <w:sz w:val="22"/>
          <w:lang w:val="pl-PL"/>
        </w:rPr>
        <w:t>.0</w:t>
      </w:r>
      <w:r w:rsidR="004B6636">
        <w:rPr>
          <w:rFonts w:ascii="Tahoma" w:hAnsi="Tahoma" w:cs="Verdana"/>
          <w:i w:val="0"/>
          <w:iCs w:val="0"/>
          <w:sz w:val="22"/>
          <w:lang w:val="pl-PL"/>
        </w:rPr>
        <w:t>6</w:t>
      </w:r>
      <w:r w:rsidR="003C08FA">
        <w:rPr>
          <w:rFonts w:ascii="Tahoma" w:hAnsi="Tahoma" w:cs="Verdana"/>
          <w:i w:val="0"/>
          <w:iCs w:val="0"/>
          <w:sz w:val="22"/>
          <w:lang w:val="pl-PL"/>
        </w:rPr>
        <w:t>.2018</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7EA49300"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proofErr w:type="spellStart"/>
      <w:r>
        <w:rPr>
          <w:rFonts w:ascii="Tahoma" w:hAnsi="Tahoma"/>
          <w:b/>
          <w:sz w:val="22"/>
          <w:szCs w:val="22"/>
          <w:lang w:val="pl-PL"/>
        </w:rPr>
        <w:t>t.j</w:t>
      </w:r>
      <w:proofErr w:type="spellEnd"/>
      <w:r>
        <w:rPr>
          <w:rFonts w:ascii="Tahoma" w:hAnsi="Tahoma"/>
          <w:b/>
          <w:sz w:val="22"/>
          <w:szCs w:val="22"/>
          <w:lang w:val="pl-PL"/>
        </w:rPr>
        <w:t>. Dz. U. z 201</w:t>
      </w:r>
      <w:r w:rsidR="00CD7718">
        <w:rPr>
          <w:rFonts w:ascii="Tahoma" w:hAnsi="Tahoma"/>
          <w:b/>
          <w:sz w:val="22"/>
          <w:szCs w:val="22"/>
          <w:lang w:val="pl-PL"/>
        </w:rPr>
        <w:t>7</w:t>
      </w:r>
      <w:r>
        <w:rPr>
          <w:rFonts w:ascii="Tahoma" w:hAnsi="Tahoma"/>
          <w:b/>
          <w:sz w:val="22"/>
          <w:szCs w:val="22"/>
          <w:lang w:val="pl-PL"/>
        </w:rPr>
        <w:t xml:space="preserve"> r. poz. </w:t>
      </w:r>
      <w:r w:rsidR="00CD7718">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1EE30848"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na wykonanie robót budowlanych</w:t>
      </w:r>
      <w:r w:rsidR="001417C6">
        <w:rPr>
          <w:rFonts w:ascii="Tahoma" w:hAnsi="Tahoma" w:cs="Tahoma"/>
          <w:b/>
          <w:sz w:val="22"/>
          <w:szCs w:val="22"/>
          <w:lang w:val="pl-PL"/>
        </w:rPr>
        <w:t xml:space="preserve"> - geologicznych</w:t>
      </w:r>
      <w:r w:rsidRPr="006773AD">
        <w:rPr>
          <w:rFonts w:ascii="Tahoma" w:hAnsi="Tahoma" w:cs="Tahoma"/>
          <w:b/>
          <w:sz w:val="22"/>
          <w:szCs w:val="22"/>
          <w:lang w:val="pl-PL"/>
        </w:rPr>
        <w:t xml:space="preserve">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31712B">
        <w:rPr>
          <w:rFonts w:ascii="Tahoma" w:hAnsi="Tahoma" w:cs="Tahoma"/>
          <w:b/>
          <w:i/>
          <w:sz w:val="22"/>
          <w:szCs w:val="22"/>
          <w:lang w:val="pl-PL"/>
        </w:rPr>
        <w:t>modernizacja</w:t>
      </w:r>
      <w:r w:rsidR="0031712B" w:rsidRPr="0041440F">
        <w:rPr>
          <w:rFonts w:ascii="Tahoma" w:hAnsi="Tahoma" w:cs="Tahoma"/>
          <w:b/>
          <w:i/>
          <w:sz w:val="22"/>
          <w:szCs w:val="22"/>
          <w:lang w:val="pl-PL"/>
        </w:rPr>
        <w:t xml:space="preserve"> systemu zaopatrzenia w wodę</w:t>
      </w:r>
      <w:r w:rsidR="001417C6">
        <w:rPr>
          <w:rFonts w:ascii="Tahoma" w:hAnsi="Tahoma" w:cs="Tahoma"/>
          <w:b/>
          <w:i/>
          <w:sz w:val="22"/>
          <w:szCs w:val="22"/>
          <w:lang w:val="pl-PL"/>
        </w:rPr>
        <w:t xml:space="preserve"> – wykonanie otworów wiertniczych w celu ujęcia wód podziemnych</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500243BB" w:rsidR="00805DDE" w:rsidRPr="00697F09" w:rsidRDefault="002D3D0F" w:rsidP="00697F09">
      <w:pPr>
        <w:pStyle w:val="Tekstpodstawowy"/>
        <w:autoSpaceDE w:val="0"/>
        <w:spacing w:after="0" w:line="300" w:lineRule="auto"/>
        <w:jc w:val="center"/>
        <w:rPr>
          <w:rFonts w:ascii="Tahoma" w:hAnsi="Tahoma" w:cs="Verdana"/>
          <w:b/>
          <w:bCs/>
          <w:sz w:val="22"/>
          <w:shd w:val="clear" w:color="auto" w:fill="FFFFFF"/>
          <w:lang w:val="pl-PL"/>
        </w:rPr>
      </w:pPr>
      <w:r w:rsidRPr="002D3D0F">
        <w:rPr>
          <w:rFonts w:ascii="Tahoma" w:hAnsi="Tahoma" w:cs="Verdana"/>
          <w:b/>
          <w:bCs/>
          <w:sz w:val="22"/>
          <w:shd w:val="clear" w:color="auto" w:fill="FFFFFF"/>
          <w:lang w:val="pl-PL"/>
        </w:rPr>
        <w:t>znak postępowania: PPI.271.10.2018</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805DDE">
      <w:pPr>
        <w:pStyle w:val="Tekstpodstawowy"/>
        <w:numPr>
          <w:ilvl w:val="0"/>
          <w:numId w:val="39"/>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57697323" w14:textId="77777777" w:rsidR="00697F09" w:rsidRDefault="00697F09" w:rsidP="00805DDE">
      <w:pPr>
        <w:spacing w:line="300" w:lineRule="auto"/>
        <w:rPr>
          <w:rFonts w:ascii="Tahoma" w:hAnsi="Tahoma"/>
          <w:sz w:val="22"/>
          <w:szCs w:val="18"/>
          <w:lang w:val="pl-PL"/>
        </w:rPr>
      </w:pP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695C694D"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(Dz. U. z 201</w:t>
      </w:r>
      <w:r w:rsidR="002D3D0F">
        <w:rPr>
          <w:rFonts w:ascii="Tahoma" w:hAnsi="Tahoma"/>
          <w:b/>
          <w:sz w:val="22"/>
          <w:szCs w:val="22"/>
          <w:lang w:val="pl-PL"/>
        </w:rPr>
        <w:t>7</w:t>
      </w:r>
      <w:r>
        <w:rPr>
          <w:rFonts w:ascii="Tahoma" w:hAnsi="Tahoma"/>
          <w:b/>
          <w:sz w:val="22"/>
          <w:szCs w:val="22"/>
          <w:lang w:val="pl-PL"/>
        </w:rPr>
        <w:t xml:space="preserve"> r. poz. </w:t>
      </w:r>
      <w:r w:rsidR="002D3D0F">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06C16EED" w:rsidR="002B1BAB" w:rsidRPr="0041440F" w:rsidRDefault="00805DDE" w:rsidP="0041440F">
      <w:pPr>
        <w:pStyle w:val="Akapitzlist"/>
        <w:spacing w:before="240" w:line="360" w:lineRule="auto"/>
        <w:ind w:left="0" w:firstLine="360"/>
        <w:jc w:val="both"/>
        <w:rPr>
          <w:rFonts w:ascii="Tahoma" w:hAnsi="Tahoma" w:cs="Tahoma"/>
          <w:color w:val="000000"/>
        </w:rPr>
      </w:pPr>
      <w:r>
        <w:rPr>
          <w:rFonts w:ascii="Tahoma" w:hAnsi="Tahoma"/>
        </w:rPr>
        <w:t>Przedmiotem zamówienia jest wykonani</w:t>
      </w:r>
      <w:r w:rsidR="00697F09">
        <w:rPr>
          <w:rFonts w:ascii="Tahoma" w:hAnsi="Tahoma"/>
        </w:rPr>
        <w:t xml:space="preserve">e </w:t>
      </w:r>
      <w:r w:rsidR="001417C6">
        <w:rPr>
          <w:rFonts w:ascii="Tahoma" w:hAnsi="Tahoma"/>
        </w:rPr>
        <w:t>robót budowlanych - geologicznych</w:t>
      </w:r>
      <w:r>
        <w:rPr>
          <w:rFonts w:ascii="Tahoma" w:hAnsi="Tahoma"/>
        </w:rPr>
        <w:t xml:space="preserve"> dotyczących: </w:t>
      </w:r>
      <w:r w:rsidR="006773AD" w:rsidRPr="006773AD">
        <w:rPr>
          <w:rFonts w:ascii="Tahoma" w:hAnsi="Tahoma" w:cs="Tahoma"/>
          <w:b/>
          <w:i/>
        </w:rPr>
        <w:t>„</w:t>
      </w:r>
      <w:r w:rsidR="0041440F" w:rsidRPr="0041440F">
        <w:rPr>
          <w:rFonts w:ascii="Tahoma" w:hAnsi="Tahoma" w:cs="Tahoma"/>
          <w:b/>
          <w:i/>
        </w:rPr>
        <w:t xml:space="preserve">Uzbrojenie terenów inwestycyjnych Koryta” – </w:t>
      </w:r>
      <w:r w:rsidR="001417C6">
        <w:rPr>
          <w:rFonts w:ascii="Tahoma" w:hAnsi="Tahoma" w:cs="Tahoma"/>
          <w:b/>
          <w:i/>
        </w:rPr>
        <w:t>modernizacja</w:t>
      </w:r>
      <w:r w:rsidR="001417C6" w:rsidRPr="0041440F">
        <w:rPr>
          <w:rFonts w:ascii="Tahoma" w:hAnsi="Tahoma" w:cs="Tahoma"/>
          <w:b/>
          <w:i/>
        </w:rPr>
        <w:t xml:space="preserve"> systemu zaopatrzenia w wodę</w:t>
      </w:r>
      <w:r w:rsidR="001417C6">
        <w:rPr>
          <w:rFonts w:ascii="Tahoma" w:hAnsi="Tahoma" w:cs="Tahoma"/>
          <w:b/>
          <w:i/>
        </w:rPr>
        <w:t xml:space="preserve"> – wykonanie otworów wiertniczych w celu ujęcia wód podziemnych</w:t>
      </w:r>
      <w:r w:rsidR="006773AD" w:rsidRPr="006773AD">
        <w:rPr>
          <w:rFonts w:ascii="Tahoma" w:hAnsi="Tahoma" w:cs="Tahoma"/>
          <w:b/>
          <w:i/>
        </w:rPr>
        <w:t>”</w:t>
      </w:r>
      <w:r w:rsidR="00697F09">
        <w:rPr>
          <w:rFonts w:ascii="Tahoma" w:eastAsia="BatangChe" w:hAnsi="Tahoma"/>
          <w:color w:val="00000A"/>
        </w:rPr>
        <w:t xml:space="preserve"> </w:t>
      </w:r>
      <w:r w:rsidRPr="0041440F">
        <w:rPr>
          <w:rFonts w:ascii="Tahoma" w:hAnsi="Tahoma" w:cs="Tahoma"/>
          <w:color w:val="00000A"/>
        </w:rPr>
        <w:t>polegających na</w:t>
      </w:r>
      <w:r w:rsidR="002B1BAB" w:rsidRPr="0041440F">
        <w:rPr>
          <w:rFonts w:ascii="Tahoma" w:hAnsi="Tahoma" w:cs="Tahoma"/>
          <w:color w:val="00000A"/>
        </w:rPr>
        <w:t xml:space="preserve"> </w:t>
      </w:r>
      <w:r w:rsidR="0031712B">
        <w:rPr>
          <w:rFonts w:ascii="Tahoma" w:hAnsi="Tahoma" w:cs="Tahoma"/>
        </w:rPr>
        <w:t xml:space="preserve">wykonaniu </w:t>
      </w:r>
      <w:r w:rsidR="002B1BAB" w:rsidRPr="0041440F">
        <w:rPr>
          <w:rFonts w:ascii="Tahoma" w:hAnsi="Tahoma" w:cs="Tahoma"/>
        </w:rPr>
        <w:t>robót budowlanych w zakresie </w:t>
      </w:r>
      <w:r w:rsidR="001417C6">
        <w:rPr>
          <w:rFonts w:ascii="Tahoma" w:hAnsi="Tahoma" w:cs="Tahoma"/>
        </w:rPr>
        <w:t>robót geologicznych – wykonanie otworów wiertniczych na działkach nr 4/100 i 4/109 obręb Koryta gmina Daszyna w celu ujęcia wód podziemnych</w:t>
      </w:r>
      <w:r w:rsidR="0041440F" w:rsidRPr="0041440F">
        <w:rPr>
          <w:rFonts w:ascii="Tahoma" w:hAnsi="Tahoma" w:cs="Tahoma"/>
        </w:rPr>
        <w:t>.</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8370"/>
      </w:tblGrid>
      <w:tr w:rsidR="0041440F" w:rsidRPr="001417C6" w14:paraId="14DCDF85" w14:textId="77777777" w:rsidTr="0041440F">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4F7DAC36" w14:textId="5143368F" w:rsidR="0041440F" w:rsidRPr="006E6C6D" w:rsidRDefault="001417C6" w:rsidP="00162FA0">
            <w:pPr>
              <w:ind w:right="-1"/>
              <w:rPr>
                <w:b/>
                <w:sz w:val="28"/>
                <w:szCs w:val="28"/>
              </w:rPr>
            </w:pPr>
            <w:r w:rsidRPr="001417C6">
              <w:rPr>
                <w:b/>
                <w:sz w:val="28"/>
                <w:szCs w:val="28"/>
              </w:rPr>
              <w:t>45255500-4</w:t>
            </w:r>
          </w:p>
        </w:tc>
        <w:tc>
          <w:tcPr>
            <w:tcW w:w="8370" w:type="dxa"/>
            <w:tcBorders>
              <w:top w:val="single" w:sz="4" w:space="0" w:color="auto"/>
              <w:left w:val="single" w:sz="4" w:space="0" w:color="auto"/>
              <w:bottom w:val="single" w:sz="4" w:space="0" w:color="auto"/>
              <w:right w:val="single" w:sz="4" w:space="0" w:color="auto"/>
            </w:tcBorders>
            <w:vAlign w:val="center"/>
          </w:tcPr>
          <w:p w14:paraId="234478D9" w14:textId="09926E4B" w:rsidR="0041440F" w:rsidRPr="0041440F" w:rsidRDefault="0041440F" w:rsidP="00162FA0">
            <w:pPr>
              <w:rPr>
                <w:b/>
                <w:sz w:val="28"/>
                <w:szCs w:val="28"/>
                <w:lang w:val="pl-PL"/>
              </w:rPr>
            </w:pPr>
            <w:r w:rsidRPr="0041440F">
              <w:rPr>
                <w:b/>
                <w:sz w:val="28"/>
                <w:szCs w:val="28"/>
                <w:lang w:val="pl-PL"/>
              </w:rPr>
              <w:t>Roboty</w:t>
            </w:r>
            <w:r w:rsidR="001417C6">
              <w:rPr>
                <w:b/>
                <w:sz w:val="28"/>
                <w:szCs w:val="28"/>
                <w:lang w:val="pl-PL"/>
              </w:rPr>
              <w:t xml:space="preserve"> wiertnicze i górnicze</w:t>
            </w:r>
          </w:p>
        </w:tc>
      </w:tr>
    </w:tbl>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805DDE">
      <w:pPr>
        <w:pStyle w:val="Tekstpodstawowy32"/>
        <w:numPr>
          <w:ilvl w:val="1"/>
          <w:numId w:val="10"/>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65D6AF10" w14:textId="4941DF59" w:rsidR="003F7F72" w:rsidRPr="0090428C" w:rsidRDefault="0090428C" w:rsidP="0090428C">
      <w:pPr>
        <w:pStyle w:val="Akapitzlist"/>
        <w:spacing w:before="240" w:line="360" w:lineRule="auto"/>
        <w:ind w:left="0" w:firstLine="360"/>
        <w:jc w:val="both"/>
        <w:rPr>
          <w:rFonts w:ascii="Tahoma" w:hAnsi="Tahoma" w:cs="Tahoma"/>
        </w:rPr>
      </w:pPr>
      <w:r>
        <w:rPr>
          <w:rFonts w:ascii="Tahoma" w:hAnsi="Tahoma"/>
        </w:rPr>
        <w:t xml:space="preserve">Przedmiotem zamówienia jest wykonanie robót budowlanych - geologicznych dotyczących: </w:t>
      </w:r>
      <w:r w:rsidRPr="006773AD">
        <w:rPr>
          <w:rFonts w:ascii="Tahoma" w:hAnsi="Tahoma" w:cs="Tahoma"/>
          <w:b/>
          <w:i/>
        </w:rPr>
        <w:t>„</w:t>
      </w:r>
      <w:r w:rsidRPr="0041440F">
        <w:rPr>
          <w:rFonts w:ascii="Tahoma" w:hAnsi="Tahoma" w:cs="Tahoma"/>
          <w:b/>
          <w:i/>
        </w:rPr>
        <w:t xml:space="preserve">Uzbrojenie terenów inwestycyjnych Koryta” – </w:t>
      </w:r>
      <w:r>
        <w:rPr>
          <w:rFonts w:ascii="Tahoma" w:hAnsi="Tahoma" w:cs="Tahoma"/>
          <w:b/>
          <w:i/>
        </w:rPr>
        <w:t>modernizacja</w:t>
      </w:r>
      <w:r w:rsidRPr="0041440F">
        <w:rPr>
          <w:rFonts w:ascii="Tahoma" w:hAnsi="Tahoma" w:cs="Tahoma"/>
          <w:b/>
          <w:i/>
        </w:rPr>
        <w:t xml:space="preserve"> systemu zaopatrzenia w wodę</w:t>
      </w:r>
      <w:r>
        <w:rPr>
          <w:rFonts w:ascii="Tahoma" w:hAnsi="Tahoma" w:cs="Tahoma"/>
          <w:b/>
          <w:i/>
        </w:rPr>
        <w:t xml:space="preserve"> – wykonanie otworów wiertniczych w celu ujęcia wód podziemnych</w:t>
      </w:r>
      <w:r w:rsidRPr="006773AD">
        <w:rPr>
          <w:rFonts w:ascii="Tahoma" w:hAnsi="Tahoma" w:cs="Tahoma"/>
          <w:b/>
          <w:i/>
        </w:rPr>
        <w:t>”</w:t>
      </w:r>
      <w:r>
        <w:rPr>
          <w:rFonts w:ascii="Tahoma" w:eastAsia="BatangChe" w:hAnsi="Tahoma"/>
          <w:color w:val="00000A"/>
        </w:rPr>
        <w:t xml:space="preserve"> </w:t>
      </w:r>
      <w:r w:rsidRPr="0041440F">
        <w:rPr>
          <w:rFonts w:ascii="Tahoma" w:hAnsi="Tahoma" w:cs="Tahoma"/>
          <w:color w:val="00000A"/>
        </w:rPr>
        <w:t xml:space="preserve">polegających na </w:t>
      </w:r>
      <w:r>
        <w:rPr>
          <w:rFonts w:ascii="Tahoma" w:hAnsi="Tahoma" w:cs="Tahoma"/>
        </w:rPr>
        <w:t xml:space="preserve">wykonaniu </w:t>
      </w:r>
      <w:r w:rsidRPr="0041440F">
        <w:rPr>
          <w:rFonts w:ascii="Tahoma" w:hAnsi="Tahoma" w:cs="Tahoma"/>
        </w:rPr>
        <w:t>robót budowlanych w zakresie </w:t>
      </w:r>
      <w:r>
        <w:rPr>
          <w:rFonts w:ascii="Tahoma" w:hAnsi="Tahoma" w:cs="Tahoma"/>
        </w:rPr>
        <w:t xml:space="preserve">robót geologicznych – wykonanie otworów wiertniczych na działkach nr 4/100 i 4/109 obręb Koryta gmina Daszyna w celu ujęcia wód podziemnych </w:t>
      </w:r>
      <w:r w:rsidR="00E512DE" w:rsidRPr="0041440F">
        <w:rPr>
          <w:rFonts w:ascii="Tahoma" w:hAnsi="Tahoma" w:cs="Tahoma"/>
        </w:rPr>
        <w:t>w zakresie</w:t>
      </w:r>
      <w:r>
        <w:rPr>
          <w:rFonts w:ascii="Tahoma" w:hAnsi="Tahoma" w:cs="Tahoma"/>
        </w:rPr>
        <w:t xml:space="preserve"> wykonania dwu otworów do głębokości ok. 180 m, zgodnie z posiadaną przez Zamawiającego dokumentacją projektową.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 xml:space="preserve">cego i </w:t>
      </w:r>
      <w:r w:rsidRPr="00E309C6">
        <w:rPr>
          <w:rFonts w:ascii="Tahoma" w:hAnsi="Tahoma" w:cs="Tahoma"/>
        </w:rPr>
        <w:lastRenderedPageBreak/>
        <w:t>Konserwatora Zabytków. Roboty mogą zostać wznowione po uzyskaniu pisemnej zgody Zamawiającego. W przypadku konieczności dalszego prowadzenia robót przy dziale nadzoru archeologicznego, koszty z tym związane obciążają Wykonawcę.</w:t>
      </w:r>
    </w:p>
    <w:p w14:paraId="119E2AE7" w14:textId="57B3972A"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w:t>
      </w:r>
      <w:r w:rsidR="0090428C">
        <w:rPr>
          <w:rFonts w:ascii="Tahoma" w:hAnsi="Tahoma"/>
          <w:b/>
          <w:sz w:val="22"/>
          <w:lang w:val="pl-PL"/>
        </w:rPr>
        <w:t>z załączonych do SIWZ: Projektu budowlanego</w:t>
      </w:r>
      <w:r>
        <w:rPr>
          <w:rFonts w:ascii="Tahoma" w:hAnsi="Tahoma"/>
          <w:b/>
          <w:sz w:val="22"/>
          <w:lang w:val="pl-PL"/>
        </w:rPr>
        <w:t xml:space="preserve"> (załącznik </w:t>
      </w:r>
      <w:r w:rsidR="0090428C">
        <w:rPr>
          <w:rFonts w:ascii="Tahoma" w:hAnsi="Tahoma"/>
          <w:b/>
          <w:sz w:val="22"/>
          <w:lang w:val="pl-PL"/>
        </w:rPr>
        <w:t>nr 2), specyfikacji technicznej</w:t>
      </w:r>
      <w:r>
        <w:rPr>
          <w:rFonts w:ascii="Tahoma" w:hAnsi="Tahoma"/>
          <w:b/>
          <w:sz w:val="22"/>
          <w:lang w:val="pl-PL"/>
        </w:rPr>
        <w:t xml:space="preserve">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D52D12">
      <w:pPr>
        <w:widowControl/>
        <w:numPr>
          <w:ilvl w:val="0"/>
          <w:numId w:val="50"/>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lastRenderedPageBreak/>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D52D12">
      <w:pPr>
        <w:widowControl/>
        <w:numPr>
          <w:ilvl w:val="0"/>
          <w:numId w:val="50"/>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7FF4AF18"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 dokumentacją techniczną/STWOR, zaś w drugiej – parametry urządzeń/materiałów oferowanych w celu potwierdzenia, że of</w:t>
      </w:r>
      <w:r w:rsidR="00C92E57">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864848">
      <w:pPr>
        <w:pStyle w:val="Akapitzlist"/>
        <w:numPr>
          <w:ilvl w:val="0"/>
          <w:numId w:val="44"/>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7BF04FC3" w14:textId="77777777" w:rsidR="00805DDE" w:rsidRDefault="00805DDE" w:rsidP="00805DDE">
      <w:pPr>
        <w:spacing w:line="300" w:lineRule="auto"/>
        <w:jc w:val="both"/>
        <w:rPr>
          <w:rFonts w:ascii="Tahoma" w:hAnsi="Tahoma"/>
          <w:bCs/>
          <w:sz w:val="22"/>
          <w:szCs w:val="22"/>
          <w:lang w:val="pl-PL"/>
        </w:rPr>
      </w:pPr>
      <w:r>
        <w:rPr>
          <w:rFonts w:ascii="Tahoma" w:hAnsi="Tahoma"/>
          <w:sz w:val="22"/>
          <w:szCs w:val="22"/>
          <w:lang w:val="pl-PL"/>
        </w:rPr>
        <w:t xml:space="preserve">e)   </w:t>
      </w:r>
      <w:r>
        <w:rPr>
          <w:rFonts w:ascii="Tahoma" w:hAnsi="Tahoma"/>
          <w:sz w:val="22"/>
          <w:szCs w:val="22"/>
          <w:lang w:val="pl-PL"/>
        </w:rPr>
        <w:tab/>
      </w:r>
      <w:r>
        <w:rPr>
          <w:rFonts w:ascii="Tahoma" w:hAnsi="Tahoma"/>
          <w:bCs/>
          <w:sz w:val="22"/>
          <w:szCs w:val="22"/>
          <w:lang w:val="pl-PL"/>
        </w:rPr>
        <w:t>płatność za wykonanie przedmiotu zamówienia :</w:t>
      </w:r>
    </w:p>
    <w:p w14:paraId="4D30D437" w14:textId="66535185" w:rsidR="00805DDE" w:rsidRDefault="00805DDE" w:rsidP="00805DDE">
      <w:pPr>
        <w:pStyle w:val="Tekstpodstawowy21"/>
        <w:spacing w:line="300" w:lineRule="auto"/>
        <w:rPr>
          <w:rFonts w:ascii="Tahoma" w:hAnsi="Tahoma"/>
          <w:sz w:val="22"/>
          <w:szCs w:val="22"/>
        </w:rPr>
      </w:pPr>
      <w:r>
        <w:rPr>
          <w:rFonts w:ascii="Tahoma" w:hAnsi="Tahoma"/>
          <w:sz w:val="22"/>
          <w:szCs w:val="22"/>
        </w:rPr>
        <w:t xml:space="preserve">        - </w:t>
      </w:r>
      <w:r w:rsidR="002F275F">
        <w:rPr>
          <w:rFonts w:ascii="Tahoma" w:hAnsi="Tahoma"/>
          <w:sz w:val="22"/>
          <w:szCs w:val="22"/>
        </w:rPr>
        <w:t xml:space="preserve">jednorazowo – na zakończenie </w:t>
      </w:r>
      <w:r w:rsidR="00C92E57">
        <w:rPr>
          <w:rFonts w:ascii="Tahoma" w:hAnsi="Tahoma"/>
          <w:sz w:val="22"/>
          <w:szCs w:val="22"/>
        </w:rPr>
        <w:t>robót</w:t>
      </w:r>
      <w:r w:rsidR="002F275F">
        <w:rPr>
          <w:rFonts w:ascii="Tahoma" w:hAnsi="Tahoma"/>
          <w:sz w:val="22"/>
          <w:szCs w:val="22"/>
        </w:rPr>
        <w:t xml:space="preserve">, </w:t>
      </w:r>
      <w:r w:rsidR="00C92E57">
        <w:rPr>
          <w:rFonts w:ascii="Tahoma" w:hAnsi="Tahoma"/>
          <w:sz w:val="22"/>
          <w:szCs w:val="22"/>
        </w:rPr>
        <w:t xml:space="preserve">po </w:t>
      </w:r>
      <w:r w:rsidR="002F275F">
        <w:rPr>
          <w:rFonts w:ascii="Tahoma" w:hAnsi="Tahoma"/>
          <w:sz w:val="22"/>
          <w:szCs w:val="22"/>
        </w:rPr>
        <w:t xml:space="preserve">podpisaniu, bezusterkowego protokołu </w:t>
      </w:r>
      <w:r w:rsidR="002F275F">
        <w:rPr>
          <w:rFonts w:ascii="Tahoma" w:hAnsi="Tahoma"/>
          <w:sz w:val="22"/>
          <w:szCs w:val="22"/>
        </w:rPr>
        <w:lastRenderedPageBreak/>
        <w:t xml:space="preserve">odbioru końcowego i </w:t>
      </w:r>
      <w:r w:rsidR="00C92E57">
        <w:rPr>
          <w:rFonts w:ascii="Tahoma" w:hAnsi="Tahoma"/>
          <w:sz w:val="22"/>
          <w:szCs w:val="22"/>
        </w:rPr>
        <w:t>po przedstawieniu</w:t>
      </w:r>
      <w:r w:rsidR="00B365B0">
        <w:rPr>
          <w:rFonts w:ascii="Tahoma" w:hAnsi="Tahoma"/>
          <w:sz w:val="22"/>
          <w:szCs w:val="22"/>
        </w:rPr>
        <w:t xml:space="preserve"> zatwierdzonej</w:t>
      </w:r>
      <w:r w:rsidR="00C92E57">
        <w:rPr>
          <w:rFonts w:ascii="Tahoma" w:hAnsi="Tahoma"/>
          <w:sz w:val="22"/>
          <w:szCs w:val="22"/>
        </w:rPr>
        <w:t xml:space="preserve"> dokumentacji hydrogeologicznej </w:t>
      </w:r>
      <w:r w:rsidR="002F275F">
        <w:rPr>
          <w:rFonts w:ascii="Tahoma" w:hAnsi="Tahoma"/>
          <w:sz w:val="22"/>
          <w:szCs w:val="22"/>
        </w:rPr>
        <w:t>– faktura k</w:t>
      </w:r>
      <w:r w:rsidR="00C92E57">
        <w:rPr>
          <w:rFonts w:ascii="Tahoma" w:hAnsi="Tahoma"/>
          <w:sz w:val="22"/>
          <w:szCs w:val="22"/>
        </w:rPr>
        <w:t>ońcowa w</w:t>
      </w:r>
      <w:r w:rsidR="00D52D12">
        <w:rPr>
          <w:rFonts w:ascii="Tahoma" w:hAnsi="Tahoma"/>
          <w:sz w:val="22"/>
          <w:szCs w:val="22"/>
        </w:rPr>
        <w:t xml:space="preserve"> </w:t>
      </w:r>
      <w:r w:rsidR="00215532">
        <w:rPr>
          <w:rFonts w:ascii="Tahoma" w:hAnsi="Tahoma"/>
          <w:sz w:val="22"/>
          <w:szCs w:val="22"/>
        </w:rPr>
        <w:t>grudniu</w:t>
      </w:r>
      <w:r w:rsidR="00D57302">
        <w:rPr>
          <w:rFonts w:ascii="Tahoma" w:hAnsi="Tahoma"/>
          <w:sz w:val="22"/>
          <w:szCs w:val="22"/>
        </w:rPr>
        <w:t xml:space="preserve"> 2018r. </w:t>
      </w:r>
    </w:p>
    <w:p w14:paraId="654A1CDE" w14:textId="035B58F2" w:rsidR="00805DDE" w:rsidRDefault="00805DDE" w:rsidP="00805DDE">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w:t>
      </w:r>
      <w:r w:rsidR="00C92E57">
        <w:rPr>
          <w:rFonts w:ascii="Tahoma" w:hAnsi="Tahoma"/>
          <w:bCs/>
          <w:sz w:val="22"/>
          <w:szCs w:val="22"/>
          <w:lang w:val="pl-PL"/>
        </w:rPr>
        <w:t>y</w:t>
      </w:r>
      <w:r>
        <w:rPr>
          <w:rFonts w:ascii="Tahoma" w:hAnsi="Tahoma"/>
          <w:bCs/>
          <w:sz w:val="22"/>
          <w:szCs w:val="22"/>
          <w:lang w:val="pl-PL"/>
        </w:rPr>
        <w:t xml:space="preserve">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67425726" w14:textId="210DD684" w:rsidR="00805DDE" w:rsidRDefault="00805DDE" w:rsidP="00805DDE">
      <w:pPr>
        <w:spacing w:line="300" w:lineRule="auto"/>
        <w:ind w:left="705" w:hanging="705"/>
        <w:jc w:val="both"/>
        <w:rPr>
          <w:rFonts w:ascii="Tahoma" w:hAnsi="Tahoma"/>
          <w:b/>
          <w:bCs/>
          <w:sz w:val="22"/>
          <w:szCs w:val="22"/>
          <w:lang w:val="pl-PL"/>
        </w:rPr>
      </w:pPr>
      <w:r>
        <w:rPr>
          <w:rFonts w:ascii="Tahoma" w:hAnsi="Tahoma"/>
          <w:sz w:val="22"/>
          <w:szCs w:val="22"/>
          <w:lang w:val="pl-PL"/>
        </w:rPr>
        <w:t xml:space="preserve">f) </w:t>
      </w:r>
      <w:r>
        <w:rPr>
          <w:rFonts w:ascii="Tahoma" w:hAnsi="Tahoma"/>
          <w:sz w:val="22"/>
          <w:szCs w:val="22"/>
          <w:lang w:val="pl-PL"/>
        </w:rPr>
        <w:tab/>
      </w:r>
      <w:r>
        <w:rPr>
          <w:rFonts w:ascii="Tahoma" w:hAnsi="Tahoma"/>
          <w:sz w:val="22"/>
          <w:szCs w:val="22"/>
          <w:lang w:val="pl-PL"/>
        </w:rPr>
        <w:tab/>
      </w:r>
      <w:r>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Pr>
          <w:rFonts w:ascii="Tahoma" w:hAnsi="Tahoma"/>
          <w:b/>
          <w:bCs/>
          <w:sz w:val="22"/>
          <w:szCs w:val="22"/>
          <w:lang w:val="pl-PL"/>
        </w:rPr>
        <w:t xml:space="preserve"> na lata 2014-2020.</w:t>
      </w:r>
    </w:p>
    <w:p w14:paraId="77163939" w14:textId="77777777"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g)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805DDE">
      <w:pPr>
        <w:numPr>
          <w:ilvl w:val="0"/>
          <w:numId w:val="18"/>
        </w:numPr>
        <w:spacing w:line="300" w:lineRule="auto"/>
        <w:jc w:val="both"/>
        <w:rPr>
          <w:rFonts w:ascii="Tahoma" w:hAnsi="Tahoma"/>
          <w:bCs/>
          <w:sz w:val="22"/>
          <w:szCs w:val="22"/>
          <w:lang w:val="pl-PL"/>
        </w:rPr>
      </w:pPr>
      <w:r>
        <w:rPr>
          <w:rFonts w:ascii="Tahoma" w:hAnsi="Tahoma"/>
          <w:bCs/>
          <w:sz w:val="22"/>
          <w:szCs w:val="22"/>
          <w:lang w:val="pl-PL"/>
        </w:rPr>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805DDE">
      <w:pPr>
        <w:numPr>
          <w:ilvl w:val="0"/>
          <w:numId w:val="18"/>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79E57546" w14:textId="67C03F7C"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Zamówień Publicznych (tekst jedn. Dz. U. z 201</w:t>
      </w:r>
      <w:r w:rsidR="001A10F2">
        <w:rPr>
          <w:rFonts w:ascii="Tahoma" w:hAnsi="Tahoma"/>
          <w:b/>
          <w:bCs/>
          <w:color w:val="00000A"/>
          <w:spacing w:val="-3"/>
          <w:sz w:val="22"/>
          <w:szCs w:val="22"/>
          <w:lang w:val="pl-PL"/>
        </w:rPr>
        <w:t>7</w:t>
      </w:r>
      <w:r>
        <w:rPr>
          <w:rFonts w:ascii="Tahoma" w:hAnsi="Tahoma"/>
          <w:b/>
          <w:bCs/>
          <w:color w:val="00000A"/>
          <w:spacing w:val="-3"/>
          <w:sz w:val="22"/>
          <w:szCs w:val="22"/>
          <w:lang w:val="pl-PL"/>
        </w:rPr>
        <w:t xml:space="preserve">, poz. </w:t>
      </w:r>
      <w:r w:rsidR="001A10F2">
        <w:rPr>
          <w:rFonts w:ascii="Tahoma" w:hAnsi="Tahoma"/>
          <w:b/>
          <w:bCs/>
          <w:color w:val="00000A"/>
          <w:spacing w:val="-3"/>
          <w:sz w:val="22"/>
          <w:szCs w:val="22"/>
          <w:lang w:val="pl-PL"/>
        </w:rPr>
        <w:t>1579</w:t>
      </w:r>
      <w:r>
        <w:rPr>
          <w:rFonts w:ascii="Tahoma" w:hAnsi="Tahoma"/>
          <w:b/>
          <w:bCs/>
          <w:color w:val="00000A"/>
          <w:spacing w:val="-3"/>
          <w:sz w:val="22"/>
          <w:szCs w:val="22"/>
          <w:lang w:val="pl-PL"/>
        </w:rPr>
        <w:t xml:space="preserve"> ze zm.).</w:t>
      </w:r>
      <w:r>
        <w:rPr>
          <w:rFonts w:ascii="Tahoma" w:hAnsi="Tahoma"/>
          <w:sz w:val="22"/>
          <w:szCs w:val="22"/>
          <w:lang w:val="pl-PL"/>
        </w:rPr>
        <w:t xml:space="preserve"> 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lastRenderedPageBreak/>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508B6B5F" w14:textId="4F109103" w:rsidR="00D52D12" w:rsidRPr="00B365B0" w:rsidRDefault="00805DDE" w:rsidP="00D52D12">
      <w:pPr>
        <w:spacing w:line="300" w:lineRule="auto"/>
        <w:jc w:val="both"/>
        <w:rPr>
          <w:rFonts w:ascii="Tahoma" w:hAnsi="Tahoma"/>
          <w:bCs/>
          <w:sz w:val="22"/>
          <w:lang w:val="pl-PL"/>
        </w:rPr>
      </w:pPr>
      <w:r>
        <w:rPr>
          <w:rFonts w:ascii="Tahoma" w:hAnsi="Tahoma"/>
          <w:bCs/>
          <w:sz w:val="22"/>
          <w:lang w:val="pl-PL"/>
        </w:rPr>
        <w:t xml:space="preserve">Rozpoczęcie – z dniem zawarcia </w:t>
      </w:r>
      <w:r w:rsidR="00215532">
        <w:rPr>
          <w:rFonts w:ascii="Tahoma" w:hAnsi="Tahoma"/>
          <w:bCs/>
          <w:sz w:val="22"/>
          <w:lang w:val="pl-PL"/>
        </w:rPr>
        <w:t>umowy;</w:t>
      </w:r>
      <w:r w:rsidR="00D52D12" w:rsidRPr="00D52D12">
        <w:rPr>
          <w:rFonts w:ascii="Tahoma" w:hAnsi="Tahoma"/>
          <w:bCs/>
          <w:sz w:val="22"/>
          <w:lang w:val="pl-PL"/>
        </w:rPr>
        <w:t xml:space="preserve"> zakończenie robó</w:t>
      </w:r>
      <w:r w:rsidR="00215532">
        <w:rPr>
          <w:rFonts w:ascii="Tahoma" w:hAnsi="Tahoma"/>
          <w:bCs/>
          <w:sz w:val="22"/>
          <w:lang w:val="pl-PL"/>
        </w:rPr>
        <w:t>t budowlanych – dnia 15 listopad</w:t>
      </w:r>
      <w:r w:rsidR="00D52D12" w:rsidRPr="00D52D12">
        <w:rPr>
          <w:rFonts w:ascii="Tahoma" w:hAnsi="Tahoma"/>
          <w:bCs/>
          <w:sz w:val="22"/>
          <w:lang w:val="pl-PL"/>
        </w:rPr>
        <w:t xml:space="preserve"> 2018 r. zakończone podpisaniem bezusterkowego końcowego protokołu odbioru</w:t>
      </w:r>
      <w:r w:rsidR="00B365B0">
        <w:rPr>
          <w:rFonts w:ascii="Tahoma" w:hAnsi="Tahoma"/>
          <w:bCs/>
          <w:sz w:val="22"/>
          <w:lang w:val="pl-PL"/>
        </w:rPr>
        <w:t xml:space="preserve"> </w:t>
      </w:r>
      <w:r w:rsidR="00B365B0" w:rsidRPr="00B365B0">
        <w:rPr>
          <w:rFonts w:ascii="Tahoma" w:hAnsi="Tahoma"/>
          <w:sz w:val="22"/>
          <w:szCs w:val="22"/>
          <w:lang w:val="pl-PL"/>
        </w:rPr>
        <w:t>i po przedstawieniu zatwierdzonej dokumentacji hydrogeologicznej</w:t>
      </w:r>
      <w:r w:rsidR="00B365B0">
        <w:rPr>
          <w:rFonts w:ascii="Tahoma" w:hAnsi="Tahoma"/>
          <w:sz w:val="22"/>
          <w:szCs w:val="22"/>
          <w:lang w:val="pl-PL"/>
        </w:rPr>
        <w:t>.</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805DDE">
      <w:pPr>
        <w:numPr>
          <w:ilvl w:val="0"/>
          <w:numId w:val="19"/>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805DDE">
      <w:pPr>
        <w:numPr>
          <w:ilvl w:val="0"/>
          <w:numId w:val="19"/>
        </w:numPr>
        <w:tabs>
          <w:tab w:val="left" w:pos="567"/>
        </w:tabs>
        <w:ind w:left="567" w:hanging="283"/>
        <w:jc w:val="both"/>
        <w:rPr>
          <w:rFonts w:ascii="Tahoma" w:hAnsi="Tahoma"/>
          <w:bCs/>
          <w:iCs/>
          <w:sz w:val="22"/>
          <w:szCs w:val="22"/>
          <w:lang w:val="pl-PL"/>
        </w:rPr>
      </w:pPr>
      <w:r>
        <w:rPr>
          <w:rFonts w:ascii="Tahoma" w:hAnsi="Tahoma"/>
          <w:bCs/>
          <w:iCs/>
          <w:sz w:val="22"/>
          <w:szCs w:val="22"/>
          <w:lang w:val="pl-PL"/>
        </w:rPr>
        <w:lastRenderedPageBreak/>
        <w:t>W przypadku wykonawców wspólnie ubiegających się o udzielenie zamówienia warunki udziału w postępowaniu zostaną spełnione, jeżeli:</w:t>
      </w:r>
    </w:p>
    <w:p w14:paraId="4A14F9BF" w14:textId="77777777"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 xml:space="preserve">warunek opisany w rozdziale 10 pkt. 2.3)1), pkt. 2 3. 2) i pkt. 2.2)  - wystarczające jest, aby dowolny Wykonawca/Wykonawcy wspólnie ubiegający się o zamówienie wykazał spełnianie tego warunku; </w:t>
      </w:r>
    </w:p>
    <w:p w14:paraId="21BDF7F8" w14:textId="77777777" w:rsidR="00805DDE" w:rsidRDefault="00805DDE" w:rsidP="00805DDE">
      <w:pPr>
        <w:numPr>
          <w:ilvl w:val="0"/>
          <w:numId w:val="20"/>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805DDE">
      <w:pPr>
        <w:numPr>
          <w:ilvl w:val="0"/>
          <w:numId w:val="20"/>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w:t>
      </w:r>
      <w:r>
        <w:rPr>
          <w:rFonts w:ascii="Tahoma" w:hAnsi="Tahoma"/>
          <w:sz w:val="22"/>
          <w:szCs w:val="22"/>
          <w:lang w:val="pl-PL"/>
        </w:rPr>
        <w:lastRenderedPageBreak/>
        <w:t>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56B4112" w14:textId="77777777" w:rsidR="00215532" w:rsidRDefault="00215532" w:rsidP="00805DDE">
      <w:pPr>
        <w:pStyle w:val="Tekstpodstawowywcity"/>
        <w:spacing w:after="0" w:line="300" w:lineRule="auto"/>
        <w:ind w:left="0"/>
        <w:jc w:val="both"/>
        <w:rPr>
          <w:rFonts w:ascii="Tahoma" w:hAnsi="Tahoma" w:cs="Times New Roman"/>
          <w:sz w:val="22"/>
          <w:lang w:val="pl-PL"/>
        </w:rPr>
      </w:pPr>
    </w:p>
    <w:p w14:paraId="1EAC1CA5" w14:textId="77777777" w:rsidR="00215532" w:rsidRDefault="00215532" w:rsidP="00805DDE">
      <w:pPr>
        <w:pStyle w:val="Tekstpodstawowywcity"/>
        <w:spacing w:after="0" w:line="300" w:lineRule="auto"/>
        <w:ind w:left="0"/>
        <w:jc w:val="both"/>
        <w:rPr>
          <w:rFonts w:ascii="Tahoma" w:hAnsi="Tahoma" w:cs="Times New Roman"/>
          <w:sz w:val="22"/>
          <w:lang w:val="pl-PL"/>
        </w:rPr>
      </w:pPr>
    </w:p>
    <w:p w14:paraId="4BD395E5" w14:textId="77777777" w:rsidR="00215532" w:rsidRDefault="00215532"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805DDE">
      <w:pPr>
        <w:widowControl/>
        <w:numPr>
          <w:ilvl w:val="0"/>
          <w:numId w:val="23"/>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6F4308CB" w:rsidR="00805DDE" w:rsidRDefault="00805DDE" w:rsidP="00805DDE">
      <w:pPr>
        <w:widowControl/>
        <w:numPr>
          <w:ilvl w:val="0"/>
          <w:numId w:val="24"/>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215532">
        <w:rPr>
          <w:rFonts w:ascii="Tahoma" w:hAnsi="Tahoma"/>
          <w:sz w:val="22"/>
          <w:szCs w:val="22"/>
          <w:lang w:val="pl-PL"/>
        </w:rPr>
        <w:t>owej w wysokości co najmniej 3</w:t>
      </w:r>
      <w:r>
        <w:rPr>
          <w:rFonts w:ascii="Tahoma" w:hAnsi="Tahoma"/>
          <w:sz w:val="22"/>
          <w:szCs w:val="22"/>
          <w:lang w:val="pl-PL"/>
        </w:rPr>
        <w:t>00 0</w:t>
      </w:r>
      <w:r w:rsidR="00215532">
        <w:rPr>
          <w:rFonts w:ascii="Tahoma" w:hAnsi="Tahoma"/>
          <w:sz w:val="22"/>
          <w:szCs w:val="22"/>
          <w:lang w:val="pl-PL"/>
        </w:rPr>
        <w:t>00,-  zł. (słownie: trzysta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A1AFB03" w:rsidR="00805DDE" w:rsidRDefault="00805DDE" w:rsidP="00805DDE">
      <w:pPr>
        <w:widowControl/>
        <w:numPr>
          <w:ilvl w:val="0"/>
          <w:numId w:val="24"/>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215532">
        <w:rPr>
          <w:rFonts w:ascii="Tahoma" w:hAnsi="Tahoma"/>
          <w:sz w:val="22"/>
          <w:szCs w:val="22"/>
          <w:lang w:val="pl-PL"/>
        </w:rPr>
        <w:t>gwarancyjną nie mniejszą niż 3</w:t>
      </w:r>
      <w:r>
        <w:rPr>
          <w:rFonts w:ascii="Tahoma" w:hAnsi="Tahoma"/>
          <w:sz w:val="22"/>
          <w:szCs w:val="22"/>
          <w:lang w:val="pl-PL"/>
        </w:rPr>
        <w:t xml:space="preserve">00 </w:t>
      </w:r>
      <w:r w:rsidR="00215532">
        <w:rPr>
          <w:rFonts w:ascii="Tahoma" w:hAnsi="Tahoma"/>
          <w:sz w:val="22"/>
          <w:szCs w:val="22"/>
          <w:lang w:val="pl-PL"/>
        </w:rPr>
        <w:t>000,00 zł (słownie: trzysta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805DDE">
      <w:pPr>
        <w:widowControl/>
        <w:numPr>
          <w:ilvl w:val="0"/>
          <w:numId w:val="23"/>
        </w:numPr>
        <w:suppressAutoHyphens w:val="0"/>
        <w:ind w:left="567" w:hanging="283"/>
        <w:jc w:val="both"/>
        <w:rPr>
          <w:rFonts w:ascii="Tahoma" w:hAnsi="Tahoma"/>
          <w:b/>
          <w:sz w:val="22"/>
          <w:szCs w:val="22"/>
          <w:u w:val="single"/>
        </w:rPr>
      </w:pPr>
      <w:r>
        <w:rPr>
          <w:rFonts w:ascii="Tahoma" w:hAnsi="Tahoma"/>
          <w:b/>
          <w:sz w:val="22"/>
          <w:szCs w:val="22"/>
          <w:u w:val="single"/>
          <w:lang w:val="pl-PL"/>
        </w:rPr>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805DDE">
      <w:pPr>
        <w:widowControl/>
        <w:numPr>
          <w:ilvl w:val="2"/>
          <w:numId w:val="22"/>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4B55C88F" w:rsidR="0079073F" w:rsidRDefault="00215532" w:rsidP="0079073F">
      <w:pPr>
        <w:spacing w:line="300" w:lineRule="auto"/>
        <w:jc w:val="both"/>
        <w:rPr>
          <w:rFonts w:ascii="Tahoma" w:hAnsi="Tahoma" w:cs="Times New Roman"/>
          <w:sz w:val="22"/>
          <w:lang w:val="pl-PL"/>
        </w:rPr>
      </w:pPr>
      <w:r>
        <w:rPr>
          <w:rFonts w:ascii="Tahoma" w:hAnsi="Tahoma" w:cs="Times New Roman"/>
          <w:sz w:val="22"/>
          <w:lang w:val="pl-PL"/>
        </w:rPr>
        <w:t>- wykonali minimum 1 otwór wiertniczy na głębokości minimum 180 m</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 xml:space="preserve">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ascii="Tahoma" w:hAnsi="Tahoma"/>
          <w:sz w:val="22"/>
          <w:szCs w:val="22"/>
          <w:lang w:val="pl-PL"/>
        </w:rPr>
        <w:lastRenderedPageBreak/>
        <w:t>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805DDE">
      <w:pPr>
        <w:pStyle w:val="Tekstpodstawowy33"/>
        <w:widowControl/>
        <w:numPr>
          <w:ilvl w:val="2"/>
          <w:numId w:val="22"/>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06EE0C8B" w14:textId="49B228D1" w:rsidR="00B72EEE" w:rsidRDefault="00B72EEE" w:rsidP="00B72EEE">
      <w:pPr>
        <w:spacing w:line="300" w:lineRule="auto"/>
        <w:ind w:left="709" w:hanging="283"/>
        <w:jc w:val="both"/>
        <w:rPr>
          <w:rFonts w:ascii="Tahoma" w:hAnsi="Tahoma"/>
          <w:b/>
          <w:sz w:val="22"/>
          <w:lang w:val="pl-PL"/>
        </w:rPr>
      </w:pPr>
      <w:r>
        <w:rPr>
          <w:rFonts w:ascii="Tahoma" w:hAnsi="Tahoma"/>
          <w:b/>
          <w:sz w:val="22"/>
          <w:lang w:val="pl-PL"/>
        </w:rPr>
        <w:t>Ekspert 1</w:t>
      </w:r>
    </w:p>
    <w:p w14:paraId="7563EEFC" w14:textId="77777777" w:rsidR="00B72EEE" w:rsidRDefault="00B72EEE" w:rsidP="00B72EEE">
      <w:pPr>
        <w:spacing w:line="300" w:lineRule="auto"/>
        <w:ind w:left="709" w:hanging="283"/>
        <w:jc w:val="both"/>
        <w:rPr>
          <w:rFonts w:ascii="Tahoma" w:hAnsi="Tahoma"/>
          <w:sz w:val="22"/>
          <w:szCs w:val="22"/>
          <w:lang w:val="pl-PL"/>
        </w:rPr>
      </w:pPr>
      <w:r>
        <w:rPr>
          <w:rFonts w:ascii="Tahoma" w:hAnsi="Tahoma"/>
          <w:sz w:val="22"/>
          <w:lang w:val="pl-PL"/>
        </w:rPr>
        <w:t xml:space="preserve">- uprawnienia do kierowania robotami w specjalności konstrukcyjno-budowlanej bez ograniczeń lub odpowiadające im uprawnienia wydane na podstawie wcześniej obowiązujących przepisów, </w:t>
      </w:r>
      <w:r>
        <w:rPr>
          <w:rFonts w:ascii="Tahoma" w:hAnsi="Tahoma"/>
          <w:sz w:val="22"/>
          <w:szCs w:val="22"/>
          <w:lang w:val="pl-PL"/>
        </w:rPr>
        <w:t>bądź równoważne w rozumieniu ustawy Prawo budowlane art. 12 i 12a.</w:t>
      </w:r>
      <w:r>
        <w:rPr>
          <w:rFonts w:ascii="Tahoma" w:hAnsi="Tahoma"/>
          <w:sz w:val="22"/>
          <w:lang w:val="pl-PL"/>
        </w:rPr>
        <w:t xml:space="preserve">. </w:t>
      </w:r>
      <w:r>
        <w:rPr>
          <w:rFonts w:ascii="Tahoma" w:hAnsi="Tahoma"/>
          <w:sz w:val="22"/>
          <w:szCs w:val="22"/>
          <w:lang w:val="pl-PL"/>
        </w:rPr>
        <w:t>Wykonawca w celu udowodnienia spełnienia warunku dysponowania osobą kierownika budowy wskaże osobę spełniającą ten warunek.</w:t>
      </w:r>
    </w:p>
    <w:p w14:paraId="06C72E62" w14:textId="77777777" w:rsidR="00B72EEE" w:rsidRDefault="00B72EEE" w:rsidP="00B72EEE">
      <w:pPr>
        <w:autoSpaceDE w:val="0"/>
        <w:autoSpaceDN w:val="0"/>
        <w:adjustRightInd w:val="0"/>
        <w:spacing w:line="360" w:lineRule="auto"/>
        <w:jc w:val="both"/>
        <w:rPr>
          <w:rFonts w:ascii="Tahoma" w:hAnsi="Tahoma" w:cs="Tahoma"/>
          <w:b/>
          <w:sz w:val="22"/>
          <w:lang w:val="pl-PL"/>
        </w:rPr>
      </w:pPr>
      <w:r>
        <w:rPr>
          <w:rFonts w:ascii="Tahoma" w:hAnsi="Tahoma" w:cs="Tahoma"/>
          <w:b/>
          <w:sz w:val="22"/>
          <w:lang w:val="pl-PL"/>
        </w:rPr>
        <w:t xml:space="preserve">       </w:t>
      </w:r>
    </w:p>
    <w:p w14:paraId="2847B011" w14:textId="3222C210" w:rsidR="00277B97" w:rsidRPr="00277B97" w:rsidRDefault="00B72EEE" w:rsidP="00B72EEE">
      <w:pPr>
        <w:autoSpaceDE w:val="0"/>
        <w:autoSpaceDN w:val="0"/>
        <w:adjustRightInd w:val="0"/>
        <w:spacing w:line="360" w:lineRule="auto"/>
        <w:jc w:val="both"/>
        <w:rPr>
          <w:rFonts w:ascii="Tahoma" w:hAnsi="Tahoma" w:cs="Tahoma"/>
          <w:lang w:val="pl-PL"/>
        </w:rPr>
      </w:pPr>
      <w:r>
        <w:rPr>
          <w:rFonts w:ascii="Tahoma" w:hAnsi="Tahoma" w:cs="Tahoma"/>
          <w:b/>
          <w:sz w:val="22"/>
          <w:lang w:val="pl-PL"/>
        </w:rPr>
        <w:t xml:space="preserve">      Ekspert 2</w:t>
      </w:r>
    </w:p>
    <w:p w14:paraId="613A4A8D" w14:textId="558A0D0A"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sz w:val="22"/>
          <w:lang w:val="pl-PL"/>
        </w:rPr>
        <w:t xml:space="preserve">- </w:t>
      </w:r>
      <w:r w:rsidRPr="00277B97">
        <w:rPr>
          <w:rFonts w:ascii="Tahoma" w:hAnsi="Tahoma" w:cs="Tahoma"/>
          <w:sz w:val="22"/>
          <w:lang w:val="pl-PL"/>
        </w:rPr>
        <w:tab/>
        <w:t>co najmniej 10 letnie doświadczenie</w:t>
      </w:r>
      <w:r w:rsidR="00B72EEE">
        <w:rPr>
          <w:rFonts w:ascii="Tahoma" w:hAnsi="Tahoma" w:cs="Tahoma"/>
          <w:sz w:val="22"/>
          <w:lang w:val="pl-PL"/>
        </w:rPr>
        <w:t xml:space="preserve"> </w:t>
      </w:r>
      <w:r w:rsidR="00215532">
        <w:rPr>
          <w:rFonts w:ascii="Tahoma" w:hAnsi="Tahoma" w:cs="Tahoma"/>
          <w:sz w:val="22"/>
          <w:lang w:val="pl-PL"/>
        </w:rPr>
        <w:t>na stanowisku kierownika robót o porównywalnym zakresie</w:t>
      </w:r>
      <w:r w:rsidRPr="00277B97">
        <w:rPr>
          <w:rFonts w:ascii="Tahoma" w:hAnsi="Tahoma" w:cs="Tahoma"/>
          <w:sz w:val="22"/>
          <w:lang w:val="pl-PL"/>
        </w:rPr>
        <w:t>,</w:t>
      </w:r>
    </w:p>
    <w:p w14:paraId="302065F0" w14:textId="77777777" w:rsidR="00BE0A9C" w:rsidRDefault="00277B97" w:rsidP="00277B97">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 xml:space="preserve">- </w:t>
      </w:r>
      <w:r w:rsidR="00215532">
        <w:rPr>
          <w:rFonts w:ascii="Tahoma" w:hAnsi="Tahoma" w:cs="Tahoma"/>
          <w:sz w:val="22"/>
          <w:lang w:val="pl-PL"/>
        </w:rPr>
        <w:t>uprawnienia geologiczne kategorii V</w:t>
      </w:r>
    </w:p>
    <w:p w14:paraId="17FD3736" w14:textId="77777777" w:rsidR="00BE0A9C" w:rsidRDefault="00BE0A9C" w:rsidP="00277B97">
      <w:pPr>
        <w:autoSpaceDE w:val="0"/>
        <w:autoSpaceDN w:val="0"/>
        <w:adjustRightInd w:val="0"/>
        <w:spacing w:line="360" w:lineRule="auto"/>
        <w:ind w:firstLine="708"/>
        <w:jc w:val="both"/>
        <w:rPr>
          <w:rFonts w:ascii="Tahoma" w:hAnsi="Tahoma" w:cs="Tahoma"/>
          <w:sz w:val="22"/>
          <w:lang w:val="pl-PL"/>
        </w:rPr>
      </w:pPr>
      <w:r>
        <w:rPr>
          <w:rFonts w:ascii="Tahoma" w:hAnsi="Tahoma" w:cs="Tahoma"/>
          <w:sz w:val="22"/>
          <w:lang w:val="pl-PL"/>
        </w:rPr>
        <w:t>- uprawnienia dozorowe – minimum dozór średni</w:t>
      </w:r>
    </w:p>
    <w:p w14:paraId="144AEABD" w14:textId="0E70BC86" w:rsidR="00277B97" w:rsidRPr="00277B97" w:rsidRDefault="00277B97" w:rsidP="00BE0A9C">
      <w:pPr>
        <w:autoSpaceDE w:val="0"/>
        <w:autoSpaceDN w:val="0"/>
        <w:adjustRightInd w:val="0"/>
        <w:spacing w:line="360" w:lineRule="auto"/>
        <w:jc w:val="both"/>
        <w:rPr>
          <w:rFonts w:ascii="Tahoma" w:hAnsi="Tahoma" w:cs="Tahoma"/>
          <w:lang w:val="pl-PL"/>
        </w:rPr>
      </w:pPr>
      <w:r w:rsidRPr="00277B97">
        <w:rPr>
          <w:rFonts w:ascii="Tahoma" w:hAnsi="Tahoma" w:cs="Tahoma"/>
          <w:sz w:val="22"/>
          <w:szCs w:val="22"/>
          <w:lang w:val="pl-PL"/>
        </w:rPr>
        <w:t>lub odpowiadające im ważne uprawnienia, które zostały wydane na podstawie wcz</w:t>
      </w:r>
      <w:r w:rsidR="00BE0A9C">
        <w:rPr>
          <w:rFonts w:ascii="Tahoma" w:hAnsi="Tahoma" w:cs="Tahoma"/>
          <w:sz w:val="22"/>
          <w:szCs w:val="22"/>
          <w:lang w:val="pl-PL"/>
        </w:rPr>
        <w:t>eśniej obowiązujących przepisów</w:t>
      </w:r>
      <w:r w:rsidRPr="00277B97">
        <w:rPr>
          <w:rFonts w:ascii="Tahoma" w:hAnsi="Tahoma" w:cs="Tahoma"/>
          <w:sz w:val="22"/>
          <w:szCs w:val="22"/>
          <w:lang w:val="pl-PL"/>
        </w:rPr>
        <w:t>. Wykonawca w celu udowodnienia spełnienia warunku dysponowa</w:t>
      </w:r>
      <w:r w:rsidR="00BE0A9C">
        <w:rPr>
          <w:rFonts w:ascii="Tahoma" w:hAnsi="Tahoma" w:cs="Tahoma"/>
          <w:sz w:val="22"/>
          <w:szCs w:val="22"/>
          <w:lang w:val="pl-PL"/>
        </w:rPr>
        <w:t>nia osobą kierownika robót</w:t>
      </w:r>
      <w:r w:rsidRPr="00277B97">
        <w:rPr>
          <w:rFonts w:ascii="Tahoma" w:hAnsi="Tahoma" w:cs="Tahoma"/>
          <w:sz w:val="22"/>
          <w:szCs w:val="22"/>
          <w:lang w:val="pl-PL"/>
        </w:rPr>
        <w:t xml:space="preserve"> wskaże osobę spełniającą ten warunek.</w:t>
      </w:r>
    </w:p>
    <w:p w14:paraId="091208D4" w14:textId="77777777" w:rsidR="00B72EEE" w:rsidRDefault="00B72EEE" w:rsidP="00277B97">
      <w:pPr>
        <w:tabs>
          <w:tab w:val="left" w:pos="28980"/>
        </w:tabs>
        <w:spacing w:line="300" w:lineRule="auto"/>
        <w:jc w:val="both"/>
        <w:rPr>
          <w:rFonts w:ascii="Tahoma" w:hAnsi="Tahoma" w:cs="Tahoma"/>
          <w:sz w:val="22"/>
          <w:lang w:val="pl-PL"/>
        </w:rPr>
      </w:pPr>
    </w:p>
    <w:p w14:paraId="61F4A2A4" w14:textId="4EC6972A" w:rsidR="00B72EEE" w:rsidRPr="00A6287C" w:rsidRDefault="00B72EEE" w:rsidP="00B72EEE">
      <w:pPr>
        <w:tabs>
          <w:tab w:val="left" w:pos="28980"/>
        </w:tabs>
        <w:autoSpaceDE w:val="0"/>
        <w:spacing w:line="300" w:lineRule="auto"/>
        <w:jc w:val="both"/>
        <w:rPr>
          <w:rFonts w:ascii="Tahoma" w:hAnsi="Tahoma"/>
          <w:b/>
          <w:sz w:val="22"/>
          <w:lang w:val="pl-PL"/>
        </w:rPr>
      </w:pPr>
      <w:r w:rsidRPr="00A6287C">
        <w:rPr>
          <w:rFonts w:ascii="Tahoma" w:hAnsi="Tahoma"/>
          <w:b/>
          <w:sz w:val="22"/>
          <w:lang w:val="pl-PL"/>
        </w:rPr>
        <w:t xml:space="preserve">Zamawiający dopuszcza </w:t>
      </w:r>
      <w:r>
        <w:rPr>
          <w:rFonts w:ascii="Tahoma" w:hAnsi="Tahoma"/>
          <w:b/>
          <w:sz w:val="22"/>
          <w:lang w:val="pl-PL"/>
        </w:rPr>
        <w:t>jednoczesne pełnienie obu</w:t>
      </w:r>
      <w:r w:rsidRPr="00A6287C">
        <w:rPr>
          <w:rFonts w:ascii="Tahoma" w:hAnsi="Tahoma"/>
          <w:b/>
          <w:sz w:val="22"/>
          <w:lang w:val="pl-PL"/>
        </w:rPr>
        <w:t xml:space="preserve"> trzech funkcji przez </w:t>
      </w:r>
      <w:r>
        <w:rPr>
          <w:rFonts w:ascii="Tahoma" w:hAnsi="Tahoma"/>
          <w:b/>
          <w:sz w:val="22"/>
          <w:lang w:val="pl-PL"/>
        </w:rPr>
        <w:t>jedną osobę</w:t>
      </w:r>
      <w:r w:rsidRPr="00A6287C">
        <w:rPr>
          <w:rFonts w:ascii="Tahoma" w:hAnsi="Tahoma"/>
          <w:b/>
          <w:sz w:val="22"/>
          <w:lang w:val="pl-PL"/>
        </w:rPr>
        <w:t>.</w:t>
      </w:r>
    </w:p>
    <w:p w14:paraId="13E954F5" w14:textId="77777777" w:rsidR="00B72EEE" w:rsidRDefault="00B72EEE" w:rsidP="00277B97">
      <w:pPr>
        <w:tabs>
          <w:tab w:val="left" w:pos="28980"/>
        </w:tabs>
        <w:spacing w:line="300" w:lineRule="auto"/>
        <w:jc w:val="both"/>
        <w:rPr>
          <w:rFonts w:ascii="Tahoma" w:hAnsi="Tahoma" w:cs="Tahoma"/>
          <w:sz w:val="22"/>
          <w:lang w:val="pl-PL"/>
        </w:rPr>
      </w:pPr>
    </w:p>
    <w:p w14:paraId="287ADCFC"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3ADD683" w14:textId="77777777" w:rsidR="00A54D0E" w:rsidRDefault="00A54D0E" w:rsidP="00215532">
      <w:pPr>
        <w:spacing w:line="264" w:lineRule="auto"/>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805DDE">
      <w:pPr>
        <w:suppressAutoHyphens w:val="0"/>
        <w:spacing w:before="120" w:line="276" w:lineRule="auto"/>
        <w:ind w:left="360"/>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5429E7F" w14:textId="77777777" w:rsidR="00805DDE" w:rsidRDefault="00805DDE" w:rsidP="00805DDE">
      <w:pPr>
        <w:tabs>
          <w:tab w:val="left" w:pos="0"/>
        </w:tabs>
        <w:spacing w:line="276" w:lineRule="auto"/>
        <w:jc w:val="both"/>
        <w:rPr>
          <w:sz w:val="22"/>
          <w:szCs w:val="22"/>
          <w:lang w:val="pl-PL"/>
        </w:rPr>
      </w:pP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r>
      <w:r w:rsidR="00052986">
        <w:rPr>
          <w:rFonts w:ascii="Tahoma" w:hAnsi="Tahoma"/>
          <w:b/>
          <w:sz w:val="22"/>
          <w:szCs w:val="22"/>
          <w:lang w:val="pl-PL"/>
        </w:rPr>
        <w:lastRenderedPageBreak/>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f)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14:paraId="7004F0F8" w14:textId="77777777"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77777777" w:rsidR="00805DDE" w:rsidRDefault="00805DDE" w:rsidP="00805DDE">
      <w:pPr>
        <w:widowControl/>
        <w:numPr>
          <w:ilvl w:val="0"/>
          <w:numId w:val="27"/>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zobowiązał się do osobistego wykonania odpowiedniej części zamówienia, jeżeli wykaże zdolności techniczne lub zawodowe lub sytuację finansową lub ekonomiczną, o których mowa w pkt 1).</w:t>
      </w:r>
    </w:p>
    <w:p w14:paraId="18899CC1" w14:textId="77777777" w:rsidR="00805DDE" w:rsidRDefault="00805DDE" w:rsidP="00805DDE">
      <w:pPr>
        <w:spacing w:after="120"/>
        <w:jc w:val="both"/>
        <w:rPr>
          <w:sz w:val="22"/>
          <w:szCs w:val="22"/>
          <w:lang w:val="pl-PL"/>
        </w:rPr>
      </w:pPr>
    </w:p>
    <w:p w14:paraId="724F5973" w14:textId="77777777" w:rsidR="00805DDE" w:rsidRDefault="00805DDE" w:rsidP="00805DDE">
      <w:pPr>
        <w:tabs>
          <w:tab w:val="left" w:pos="28980"/>
        </w:tabs>
        <w:spacing w:line="300" w:lineRule="auto"/>
        <w:jc w:val="both"/>
        <w:rPr>
          <w:rStyle w:val="dane1"/>
          <w:rFonts w:ascii="Tahoma" w:hAnsi="Tahoma"/>
          <w:b/>
          <w:bCs/>
          <w:color w:val="00000A"/>
          <w:sz w:val="22"/>
          <w:szCs w:val="22"/>
          <w:lang w:val="pl-PL"/>
        </w:rPr>
      </w:pPr>
      <w:r>
        <w:rPr>
          <w:rFonts w:ascii="Tahoma" w:hAnsi="Tahoma"/>
          <w:b/>
          <w:sz w:val="22"/>
          <w:szCs w:val="22"/>
          <w:lang w:val="pl-PL"/>
        </w:rPr>
        <w:t xml:space="preserve">4. </w:t>
      </w:r>
      <w:r>
        <w:rPr>
          <w:rStyle w:val="dane1"/>
          <w:rFonts w:ascii="Tahoma" w:hAnsi="Tahoma"/>
          <w:b/>
          <w:bCs/>
          <w:color w:val="00000A"/>
          <w:sz w:val="22"/>
          <w:szCs w:val="22"/>
          <w:lang w:val="pl-PL"/>
        </w:rPr>
        <w:t>Podstawy wykluczenia wykonawcy z udziału w postępowaniu:</w:t>
      </w:r>
    </w:p>
    <w:p w14:paraId="6927799A" w14:textId="77777777" w:rsidR="00805DDE" w:rsidRDefault="00805DDE" w:rsidP="00805DDE">
      <w:pPr>
        <w:numPr>
          <w:ilvl w:val="2"/>
          <w:numId w:val="25"/>
        </w:numPr>
        <w:tabs>
          <w:tab w:val="left" w:pos="567"/>
        </w:tabs>
        <w:jc w:val="both"/>
        <w:rPr>
          <w:rFonts w:ascii="Tahoma" w:hAnsi="Tahoma"/>
          <w:sz w:val="22"/>
          <w:szCs w:val="22"/>
          <w:lang w:val="pl-PL"/>
        </w:rPr>
      </w:pPr>
      <w:r>
        <w:rPr>
          <w:rFonts w:ascii="Tahoma" w:hAnsi="Tahoma"/>
          <w:sz w:val="22"/>
          <w:szCs w:val="22"/>
          <w:lang w:val="pl-PL"/>
        </w:rPr>
        <w:t>Zamawiający wykluczy z udziału w postępowaniu Wykonawcę w przypadku niespełnienia warunków określonych w art. 24 ust. 1 ustawy.</w:t>
      </w:r>
    </w:p>
    <w:p w14:paraId="2A70E748" w14:textId="77777777" w:rsidR="00805DDE" w:rsidRDefault="00805DDE" w:rsidP="00805DDE">
      <w:pPr>
        <w:numPr>
          <w:ilvl w:val="2"/>
          <w:numId w:val="25"/>
        </w:numPr>
        <w:tabs>
          <w:tab w:val="left" w:pos="567"/>
        </w:tabs>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Pr>
          <w:rFonts w:ascii="Tahoma" w:hAnsi="Tahoma"/>
          <w:color w:val="00000A"/>
          <w:sz w:val="22"/>
          <w:szCs w:val="22"/>
          <w:lang w:val="pl-PL"/>
        </w:rPr>
        <w:t>Zamawiający przewiduje następujące fakultatywne podstawy wykluczenia wykonawcy:</w:t>
      </w:r>
    </w:p>
    <w:p w14:paraId="486582EE"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2015 r. poz. 978, 1259, 1513, 1830 i 1844) lub którego upadłość ogłoszono, z wyjątkiem wykonawcy, </w:t>
      </w:r>
      <w:r w:rsidRPr="00805DDE">
        <w:rPr>
          <w:rStyle w:val="dane1"/>
          <w:rFonts w:ascii="Tahoma" w:hAnsi="Tahoma" w:cs="Tahoma"/>
          <w:bCs/>
          <w:color w:val="00000A"/>
          <w:sz w:val="22"/>
          <w:szCs w:val="22"/>
          <w:lang w:val="pl-PL"/>
        </w:rPr>
        <w:lastRenderedPageBreak/>
        <w:t>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2015 r. poz. 233, 978, 1166, 1259 i 1844);</w:t>
      </w:r>
    </w:p>
    <w:p w14:paraId="795CD320"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805DDE">
      <w:pPr>
        <w:numPr>
          <w:ilvl w:val="0"/>
          <w:numId w:val="29"/>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805DDE">
      <w:pPr>
        <w:numPr>
          <w:ilvl w:val="0"/>
          <w:numId w:val="29"/>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77777777" w:rsidR="00805DDE" w:rsidRPr="00805DDE" w:rsidRDefault="00805DDE" w:rsidP="00805DDE">
      <w:pPr>
        <w:numPr>
          <w:ilvl w:val="0"/>
          <w:numId w:val="28"/>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77777777" w:rsidR="00805DDE" w:rsidRDefault="00805DDE" w:rsidP="00805DDE">
      <w:pPr>
        <w:numPr>
          <w:ilvl w:val="2"/>
          <w:numId w:val="25"/>
        </w:numPr>
        <w:tabs>
          <w:tab w:val="left" w:pos="426"/>
        </w:tabs>
        <w:ind w:left="426" w:hanging="426"/>
        <w:jc w:val="both"/>
        <w:rPr>
          <w:rFonts w:ascii="Tahoma" w:hAnsi="Tahoma"/>
          <w:sz w:val="22"/>
          <w:szCs w:val="22"/>
          <w:lang w:val="pl-PL"/>
        </w:rPr>
      </w:pPr>
      <w:r>
        <w:rPr>
          <w:rFonts w:ascii="Tahoma" w:hAnsi="Tahoma"/>
          <w:sz w:val="22"/>
          <w:szCs w:val="22"/>
          <w:lang w:val="pl-PL"/>
        </w:rPr>
        <w:t xml:space="preserve">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w:t>
      </w:r>
      <w:r>
        <w:rPr>
          <w:rFonts w:ascii="Tahoma" w:hAnsi="Tahoma"/>
          <w:sz w:val="22"/>
          <w:szCs w:val="22"/>
          <w:lang w:val="pl-PL"/>
        </w:rPr>
        <w:lastRenderedPageBreak/>
        <w:t>oraz nie upłynął określony w tym wyroku okres obowiązywania tego zakazu. art. 24 ust. 9 i 10 ustawy stosuje się odpowiednio.</w:t>
      </w: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0A82BFC5" w14:textId="77777777" w:rsidR="00805DDE" w:rsidRPr="00F53F7D" w:rsidRDefault="00805DDE" w:rsidP="00805DDE">
      <w:pPr>
        <w:numPr>
          <w:ilvl w:val="2"/>
          <w:numId w:val="40"/>
        </w:numPr>
        <w:spacing w:line="240" w:lineRule="auto"/>
        <w:jc w:val="both"/>
        <w:rPr>
          <w:rFonts w:ascii="Calibri" w:hAnsi="Calibri" w:cs="Times New Roman"/>
          <w:b/>
          <w:lang w:val="pl-PL" w:eastAsia="ar-SA" w:bidi="ar-SA"/>
        </w:rPr>
      </w:pPr>
      <w:r w:rsidRPr="00F53F7D">
        <w:rPr>
          <w:rFonts w:ascii="Calibri" w:hAnsi="Calibri" w:cs="Times New Roman"/>
          <w:b/>
          <w:lang w:val="pl-PL" w:eastAsia="ar-SA" w:bidi="ar-SA"/>
        </w:rPr>
        <w:t>Do oferty</w:t>
      </w:r>
      <w:r w:rsidRPr="00F53F7D">
        <w:rPr>
          <w:rFonts w:ascii="Calibri" w:hAnsi="Calibri" w:cs="Times New Roman"/>
          <w:lang w:val="pl-PL" w:eastAsia="ar-SA" w:bidi="ar-SA"/>
        </w:rPr>
        <w:t xml:space="preserve"> (wzór określony w załączniku do SIWZ) każdy wykonawca musi dołączyć aktualne na dzień składania ofert </w:t>
      </w:r>
      <w:r w:rsidRPr="00F53F7D">
        <w:rPr>
          <w:rFonts w:ascii="Calibri" w:hAnsi="Calibri" w:cs="Times New Roman"/>
          <w:b/>
          <w:lang w:val="pl-PL" w:eastAsia="ar-SA" w:bidi="ar-SA"/>
        </w:rPr>
        <w:t>oświadczenie dotyczące braku przesłanek wykluczenia z postępowania</w:t>
      </w:r>
      <w:r w:rsidRPr="00F53F7D">
        <w:rPr>
          <w:rFonts w:ascii="Calibri" w:hAnsi="Calibri" w:cs="Times New Roman"/>
          <w:lang w:val="pl-PL" w:eastAsia="ar-SA" w:bidi="ar-SA"/>
        </w:rPr>
        <w:t xml:space="preserve"> (wzór określony w załączniku do SIWZ) oraz </w:t>
      </w:r>
      <w:r w:rsidRPr="00F53F7D">
        <w:rPr>
          <w:rFonts w:ascii="Calibri" w:hAnsi="Calibri" w:cs="Times New Roman"/>
          <w:b/>
          <w:lang w:val="pl-PL" w:eastAsia="ar-SA" w:bidi="ar-SA"/>
        </w:rPr>
        <w:t xml:space="preserve">oświadczenie dotyczące spełnienia warunków udziału w postępowaniu </w:t>
      </w:r>
      <w:r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17DCA317" w:rsidR="00805DDE" w:rsidRDefault="00805DDE" w:rsidP="00805DDE">
      <w:pPr>
        <w:spacing w:before="120" w:line="276" w:lineRule="auto"/>
        <w:ind w:right="112" w:firstLine="708"/>
        <w:jc w:val="both"/>
        <w:rPr>
          <w:rFonts w:ascii="Tahoma" w:hAnsi="Tahoma"/>
          <w:b/>
          <w:sz w:val="22"/>
          <w:szCs w:val="22"/>
          <w:lang w:val="pl-PL"/>
        </w:rPr>
      </w:pPr>
      <w:r w:rsidRPr="00F53F7D">
        <w:rPr>
          <w:rFonts w:ascii="Calibri" w:hAnsi="Calibri" w:cs="Times New Roman"/>
          <w:lang w:val="pl-PL" w:eastAsia="ar-SA" w:bidi="ar-SA"/>
        </w:rPr>
        <w:t xml:space="preserve">2   W przypadku wspólnego ubiegania się o zamówienie przez wykonawców oświadczenie, o </w:t>
      </w:r>
      <w:r w:rsidRPr="00F53F7D">
        <w:rPr>
          <w:rFonts w:ascii="Calibri" w:hAnsi="Calibri" w:cs="Times New Roman"/>
          <w:lang w:val="pl-PL" w:eastAsia="ar-SA" w:bidi="ar-SA"/>
        </w:rPr>
        <w:br/>
        <w:t xml:space="preserve">        którym mowa w ust. 1 </w:t>
      </w:r>
      <w:r w:rsidRPr="00F53F7D">
        <w:rPr>
          <w:rFonts w:ascii="Calibri" w:hAnsi="Calibri" w:cs="Times New Roman"/>
          <w:u w:val="single"/>
          <w:lang w:val="pl-PL" w:eastAsia="ar-SA" w:bidi="ar-SA"/>
        </w:rPr>
        <w:t>składa każdy z wykonawców wspólnie ubiegających się o zamówienie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        Oświadczenie ma potwierdzać, brak podstaw do wykluczenia oraz spełnienie warunków udziału w postępowaniu </w:t>
      </w:r>
      <w:r w:rsidRPr="00F53F7D">
        <w:rPr>
          <w:rFonts w:ascii="Calibri" w:hAnsi="Calibri" w:cs="Times New Roman"/>
          <w:u w:val="single"/>
          <w:lang w:val="pl-PL" w:eastAsia="ar-SA" w:bidi="ar-SA"/>
        </w:rPr>
        <w:t>w zakresie, w którym każdy z wykonawców wykazuje spełnianie warunków</w:t>
      </w:r>
      <w:r w:rsidRPr="00F53F7D">
        <w:rPr>
          <w:rFonts w:ascii="Calibri" w:hAnsi="Calibri" w:cs="Times New Roman"/>
          <w:lang w:val="pl-PL" w:eastAsia="ar-SA" w:bidi="ar-SA"/>
        </w:rPr>
        <w:t xml:space="preserve"> </w:t>
      </w:r>
      <w:r w:rsidRPr="00F53F7D">
        <w:rPr>
          <w:rFonts w:ascii="Calibri" w:hAnsi="Calibri" w:cs="Times New Roman"/>
          <w:u w:val="single"/>
          <w:lang w:val="pl-PL" w:eastAsia="ar-SA" w:bidi="ar-SA"/>
        </w:rPr>
        <w:t>udziału w postępowaniu</w:t>
      </w:r>
      <w:r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xml:space="preserve">, jeżeli jest to niezbędne do zapewnienia odpowiedniego przebiegu postępowania o udzielenie zamówienia, Zamawiający może na każdym etapie postępowania wezwać wykonawców do </w:t>
      </w:r>
      <w:r>
        <w:rPr>
          <w:rFonts w:ascii="Tahoma" w:hAnsi="Tahoma"/>
          <w:sz w:val="22"/>
          <w:szCs w:val="22"/>
          <w:lang w:val="pl-PL"/>
        </w:rPr>
        <w:lastRenderedPageBreak/>
        <w:t>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5D9028AF" w14:textId="6824B742" w:rsidR="00805DDE"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 na kwo</w:t>
      </w:r>
      <w:r w:rsidR="00B72EEE">
        <w:rPr>
          <w:rFonts w:ascii="Tahoma" w:hAnsi="Tahoma"/>
          <w:color w:val="00000A"/>
          <w:sz w:val="22"/>
          <w:szCs w:val="22"/>
          <w:lang w:val="pl-PL"/>
        </w:rPr>
        <w:t>tę nie mniejszą niż trzysta</w:t>
      </w:r>
      <w:r w:rsidR="002C7523">
        <w:rPr>
          <w:rFonts w:ascii="Tahoma" w:hAnsi="Tahoma"/>
          <w:color w:val="00000A"/>
          <w:sz w:val="22"/>
          <w:szCs w:val="22"/>
          <w:lang w:val="pl-PL"/>
        </w:rPr>
        <w:t xml:space="preserve"> tysięcy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 xml:space="preserve">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Tahoma" w:hAnsi="Tahoma"/>
          <w:color w:val="00000A"/>
          <w:sz w:val="22"/>
          <w:szCs w:val="22"/>
          <w:lang w:val="pl-PL"/>
        </w:rPr>
        <w:lastRenderedPageBreak/>
        <w:t>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2016 r. poz. 716);</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6) oświadczenia wykonawcy o przynależności albo braku przynależności do tej samej grupy kapitałowej; w przypadku przynależności do tej samej grupy kapitałowej wykonawca może przedstawić dowody, , że powiązania z innym wykonawcą nie </w:t>
      </w:r>
      <w:r>
        <w:rPr>
          <w:rFonts w:ascii="Tahoma" w:eastAsia="TimesNewRoman" w:hAnsi="Tahoma"/>
          <w:sz w:val="22"/>
          <w:szCs w:val="22"/>
          <w:lang w:val="pl-PL"/>
        </w:rPr>
        <w:lastRenderedPageBreak/>
        <w:t>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805DDE">
      <w:pPr>
        <w:widowControl/>
        <w:numPr>
          <w:ilvl w:val="2"/>
          <w:numId w:val="30"/>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lastRenderedPageBreak/>
        <w:t>zakres dostępnych wykonawcy zasobów innego podmiotu;</w:t>
      </w:r>
    </w:p>
    <w:p w14:paraId="3AAF9983"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805DDE">
      <w:pPr>
        <w:widowControl/>
        <w:numPr>
          <w:ilvl w:val="1"/>
          <w:numId w:val="31"/>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805DDE">
      <w:pPr>
        <w:widowControl/>
        <w:numPr>
          <w:ilvl w:val="0"/>
          <w:numId w:val="32"/>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4729FA33"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24CEA71D"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805DDE">
      <w:pPr>
        <w:widowControl/>
        <w:numPr>
          <w:ilvl w:val="0"/>
          <w:numId w:val="21"/>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w:t>
      </w:r>
      <w:r>
        <w:rPr>
          <w:rFonts w:ascii="Tahoma" w:hAnsi="Tahoma"/>
          <w:sz w:val="22"/>
          <w:szCs w:val="22"/>
          <w:lang w:val="pl-PL"/>
        </w:rPr>
        <w:lastRenderedPageBreak/>
        <w:t xml:space="preserve">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805DDE">
      <w:pPr>
        <w:numPr>
          <w:ilvl w:val="0"/>
          <w:numId w:val="8"/>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008F20B7"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B72EEE">
        <w:rPr>
          <w:rFonts w:ascii="Tahoma" w:hAnsi="Tahoma"/>
          <w:sz w:val="22"/>
          <w:lang w:val="pl-PL"/>
        </w:rPr>
        <w:t>jest wnieść wadium w wysokości 1</w:t>
      </w:r>
      <w:r>
        <w:rPr>
          <w:rFonts w:ascii="Tahoma" w:hAnsi="Tahoma"/>
          <w:sz w:val="22"/>
          <w:lang w:val="pl-PL"/>
        </w:rPr>
        <w:t>0.</w:t>
      </w:r>
      <w:r w:rsidR="00A54D0E">
        <w:rPr>
          <w:rFonts w:ascii="Tahoma" w:hAnsi="Tahoma"/>
          <w:sz w:val="22"/>
          <w:lang w:val="pl-PL"/>
        </w:rPr>
        <w:t>000,00 zł (sł</w:t>
      </w:r>
      <w:r w:rsidR="00B72EEE">
        <w:rPr>
          <w:rFonts w:ascii="Tahoma" w:hAnsi="Tahoma"/>
          <w:sz w:val="22"/>
          <w:lang w:val="pl-PL"/>
        </w:rPr>
        <w:t>ownie: dziesięć</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805DDE">
      <w:pPr>
        <w:widowControl/>
        <w:numPr>
          <w:ilvl w:val="0"/>
          <w:numId w:val="8"/>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805DDE">
      <w:pPr>
        <w:widowControl/>
        <w:numPr>
          <w:ilvl w:val="2"/>
          <w:numId w:val="10"/>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lastRenderedPageBreak/>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2016 r. poz. 359</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805DDE">
      <w:pPr>
        <w:widowControl/>
        <w:numPr>
          <w:ilvl w:val="0"/>
          <w:numId w:val="33"/>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805DDE">
      <w:pPr>
        <w:widowControl/>
        <w:numPr>
          <w:ilvl w:val="0"/>
          <w:numId w:val="33"/>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w:t>
      </w:r>
      <w:r w:rsidRPr="00805DDE">
        <w:rPr>
          <w:rFonts w:ascii="Tahoma" w:eastAsia="A" w:hAnsi="Tahoma" w:cs="Tahoma"/>
          <w:sz w:val="22"/>
          <w:szCs w:val="22"/>
          <w:lang w:val="pl-PL"/>
        </w:rPr>
        <w:lastRenderedPageBreak/>
        <w:t>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805DDE">
      <w:pPr>
        <w:widowControl/>
        <w:numPr>
          <w:ilvl w:val="0"/>
          <w:numId w:val="8"/>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18A1BA06" w14:textId="77777777" w:rsidR="00AF3A62" w:rsidRDefault="00AF3A62" w:rsidP="00AF3A62">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0F6A2477" w14:textId="77777777" w:rsidR="00AF3A62" w:rsidRDefault="00AF3A62" w:rsidP="00AF3A62">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73BBDE8F"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6D4207">
        <w:rPr>
          <w:rFonts w:ascii="Tahoma" w:hAnsi="Tahoma" w:cs="Tahoma"/>
          <w:b/>
          <w:i/>
          <w:sz w:val="22"/>
          <w:szCs w:val="22"/>
          <w:lang w:val="pl-PL"/>
        </w:rPr>
        <w:t>- modernizacja</w:t>
      </w:r>
      <w:r w:rsidR="006D4207" w:rsidRPr="00277B97">
        <w:rPr>
          <w:rFonts w:ascii="Tahoma" w:hAnsi="Tahoma" w:cs="Tahoma"/>
          <w:b/>
          <w:i/>
          <w:sz w:val="22"/>
          <w:szCs w:val="22"/>
          <w:lang w:val="pl-PL"/>
        </w:rPr>
        <w:t xml:space="preserve"> systemu zaopatrzenia w wodę</w:t>
      </w:r>
      <w:r w:rsidR="006D4207">
        <w:rPr>
          <w:rFonts w:ascii="Tahoma" w:hAnsi="Tahoma" w:cs="Tahoma"/>
          <w:b/>
          <w:i/>
          <w:sz w:val="22"/>
          <w:szCs w:val="22"/>
          <w:lang w:val="pl-PL"/>
        </w:rPr>
        <w:t xml:space="preserve"> </w:t>
      </w:r>
      <w:r w:rsidR="00AC4EB3">
        <w:rPr>
          <w:rFonts w:ascii="Tahoma" w:hAnsi="Tahoma" w:cs="Tahoma"/>
          <w:b/>
          <w:i/>
          <w:sz w:val="22"/>
          <w:szCs w:val="22"/>
          <w:lang w:val="pl-PL"/>
        </w:rPr>
        <w:t xml:space="preserve">– </w:t>
      </w:r>
      <w:r w:rsidR="00711101" w:rsidRPr="00711101">
        <w:rPr>
          <w:rFonts w:ascii="Tahoma" w:hAnsi="Tahoma" w:cs="Tahoma"/>
          <w:b/>
          <w:i/>
          <w:lang w:val="pl-PL"/>
        </w:rPr>
        <w:t>wykonanie otworów wiertniczych w celu ujęcia wód podziemnych”</w:t>
      </w:r>
      <w:r w:rsidR="00711101" w:rsidRPr="00711101">
        <w:rPr>
          <w:rFonts w:ascii="Tahoma" w:eastAsia="BatangChe" w:hAnsi="Tahoma"/>
          <w:color w:val="00000A"/>
          <w:lang w:val="pl-PL"/>
        </w:rPr>
        <w:t xml:space="preserve"> </w:t>
      </w:r>
      <w:bookmarkStart w:id="1" w:name="_GoBack"/>
      <w:bookmarkEnd w:id="1"/>
    </w:p>
    <w:p w14:paraId="5402B914" w14:textId="7078557D"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554BBA">
        <w:rPr>
          <w:rFonts w:ascii="Tahoma" w:hAnsi="Tahoma" w:cs="Tahoma"/>
          <w:b/>
          <w:bCs/>
          <w:sz w:val="22"/>
          <w:szCs w:val="22"/>
          <w:u w:val="single"/>
          <w:lang w:val="pl-PL"/>
        </w:rPr>
        <w:t xml:space="preserve"> </w:t>
      </w:r>
      <w:r w:rsidR="00DE4C01">
        <w:rPr>
          <w:rFonts w:ascii="Tahoma" w:hAnsi="Tahoma" w:cs="Tahoma"/>
          <w:b/>
          <w:bCs/>
          <w:sz w:val="22"/>
          <w:szCs w:val="22"/>
          <w:u w:val="single"/>
          <w:lang w:val="pl-PL"/>
        </w:rPr>
        <w:t>03</w:t>
      </w:r>
      <w:r w:rsidR="00954869">
        <w:rPr>
          <w:rFonts w:ascii="Tahoma" w:hAnsi="Tahoma" w:cs="Tahoma"/>
          <w:b/>
          <w:bCs/>
          <w:sz w:val="22"/>
          <w:szCs w:val="22"/>
          <w:u w:val="single"/>
          <w:lang w:val="pl-PL"/>
        </w:rPr>
        <w:t>.</w:t>
      </w:r>
      <w:r w:rsidR="00B72EEE">
        <w:rPr>
          <w:rFonts w:ascii="Tahoma" w:hAnsi="Tahoma" w:cs="Tahoma"/>
          <w:b/>
          <w:bCs/>
          <w:sz w:val="22"/>
          <w:szCs w:val="22"/>
          <w:u w:val="single"/>
          <w:lang w:val="pl-PL"/>
        </w:rPr>
        <w:t>0</w:t>
      </w:r>
      <w:r w:rsidR="00DE4C01">
        <w:rPr>
          <w:rFonts w:ascii="Tahoma" w:hAnsi="Tahoma" w:cs="Tahoma"/>
          <w:b/>
          <w:bCs/>
          <w:sz w:val="22"/>
          <w:szCs w:val="22"/>
          <w:u w:val="single"/>
          <w:lang w:val="pl-PL"/>
        </w:rPr>
        <w:t>7</w:t>
      </w:r>
      <w:r w:rsidR="00AC4EB3">
        <w:rPr>
          <w:rFonts w:ascii="Tahoma" w:hAnsi="Tahoma" w:cs="Tahoma"/>
          <w:b/>
          <w:bCs/>
          <w:sz w:val="22"/>
          <w:szCs w:val="22"/>
          <w:u w:val="single"/>
          <w:lang w:val="pl-PL"/>
        </w:rPr>
        <w:t>.2018</w:t>
      </w:r>
      <w:r w:rsidRPr="00805DDE">
        <w:rPr>
          <w:rFonts w:ascii="Tahoma" w:hAnsi="Tahoma" w:cs="Tahoma"/>
          <w:b/>
          <w:bCs/>
          <w:sz w:val="22"/>
          <w:szCs w:val="22"/>
          <w:u w:val="single"/>
          <w:lang w:val="pl-PL"/>
        </w:rPr>
        <w:t xml:space="preserve"> r. do godz.10:00.</w:t>
      </w:r>
    </w:p>
    <w:p w14:paraId="07831D65" w14:textId="15801FCD"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DE4C01">
        <w:rPr>
          <w:rFonts w:ascii="Tahoma" w:hAnsi="Tahoma"/>
          <w:b/>
          <w:color w:val="00000A"/>
          <w:sz w:val="22"/>
          <w:lang w:val="pl-PL"/>
        </w:rPr>
        <w:t>03</w:t>
      </w:r>
      <w:r w:rsidR="00B72EEE" w:rsidRPr="00954869">
        <w:rPr>
          <w:rFonts w:ascii="Tahoma" w:hAnsi="Tahoma"/>
          <w:b/>
          <w:color w:val="00000A"/>
          <w:sz w:val="22"/>
          <w:lang w:val="pl-PL"/>
        </w:rPr>
        <w:t>.0</w:t>
      </w:r>
      <w:r w:rsidR="00DE4C01">
        <w:rPr>
          <w:rFonts w:ascii="Tahoma" w:hAnsi="Tahoma"/>
          <w:b/>
          <w:color w:val="00000A"/>
          <w:sz w:val="22"/>
          <w:lang w:val="pl-PL"/>
        </w:rPr>
        <w:t>7</w:t>
      </w:r>
      <w:r w:rsidR="00AC4EB3" w:rsidRPr="00954869">
        <w:rPr>
          <w:rFonts w:ascii="Tahoma" w:hAnsi="Tahoma"/>
          <w:b/>
          <w:color w:val="00000A"/>
          <w:sz w:val="22"/>
          <w:lang w:val="pl-PL"/>
        </w:rPr>
        <w:t>.2018</w:t>
      </w:r>
      <w:r>
        <w:rPr>
          <w:rFonts w:ascii="Tahoma" w:hAnsi="Tahoma"/>
          <w:b/>
          <w:color w:val="00000A"/>
          <w:sz w:val="22"/>
          <w:lang w:val="pl-PL"/>
        </w:rPr>
        <w:t xml:space="preserve"> r.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805DDE">
      <w:pPr>
        <w:numPr>
          <w:ilvl w:val="0"/>
          <w:numId w:val="11"/>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805DDE">
      <w:pPr>
        <w:numPr>
          <w:ilvl w:val="0"/>
          <w:numId w:val="11"/>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 po upływie wskazanego terminu, Zamawiający może udzielić wyjaśnień albo pozostawić wniosek bez rozpatrzenia.</w:t>
      </w:r>
    </w:p>
    <w:p w14:paraId="00995E35"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805DDE">
      <w:pPr>
        <w:numPr>
          <w:ilvl w:val="0"/>
          <w:numId w:val="11"/>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77777777" w:rsidR="00805DDE" w:rsidRPr="00805DDE" w:rsidRDefault="00805DDE" w:rsidP="00805DDE">
      <w:pPr>
        <w:numPr>
          <w:ilvl w:val="0"/>
          <w:numId w:val="11"/>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xml:space="preserve">. z 2016 r. , poz. 1126)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lastRenderedPageBreak/>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805DDE">
      <w:pPr>
        <w:numPr>
          <w:ilvl w:val="0"/>
          <w:numId w:val="11"/>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9" w:history="1">
        <w:r w:rsidRPr="006773AD">
          <w:rPr>
            <w:rStyle w:val="Hipercze"/>
            <w:rFonts w:ascii="Tahoma" w:eastAsia="Arial Unicode MS" w:hAnsi="Tahoma"/>
            <w:lang w:val="pl-PL"/>
          </w:rPr>
          <w:t>ugdaszyna@op.pl</w:t>
        </w:r>
      </w:hyperlink>
    </w:p>
    <w:p w14:paraId="1F5BEDCE" w14:textId="77777777" w:rsidR="00805DDE" w:rsidRPr="00805DDE" w:rsidRDefault="00805DDE" w:rsidP="00805DDE">
      <w:pPr>
        <w:numPr>
          <w:ilvl w:val="0"/>
          <w:numId w:val="11"/>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21A4640C" w:rsidR="00805DDE" w:rsidRPr="00554BBA" w:rsidRDefault="00227887" w:rsidP="00554BBA">
      <w:pPr>
        <w:pStyle w:val="Akapitzlist"/>
        <w:numPr>
          <w:ilvl w:val="0"/>
          <w:numId w:val="11"/>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0" w:history="1">
        <w:r w:rsidRPr="004266A3">
          <w:rPr>
            <w:rStyle w:val="Hipercze"/>
            <w:rFonts w:ascii="Tahoma" w:hAnsi="Tahoma"/>
          </w:rPr>
          <w:t>ugdaszyna@op.pl</w:t>
        </w:r>
      </w:hyperlink>
      <w:r>
        <w:rPr>
          <w:rFonts w:ascii="Tahoma" w:hAnsi="Tahoma" w:cs="Verdana"/>
          <w:b/>
          <w:bCs/>
          <w:szCs w:val="20"/>
        </w:rPr>
        <w:t xml:space="preserve"> </w:t>
      </w:r>
      <w:r w:rsidR="00805DDE" w:rsidRPr="00554BBA">
        <w:rPr>
          <w:rFonts w:ascii="Tahoma" w:hAnsi="Tahoma"/>
          <w:b/>
          <w:bCs/>
        </w:rPr>
        <w:t>oraz P. Ra</w:t>
      </w:r>
      <w:r w:rsidR="00554BBA">
        <w:rPr>
          <w:rFonts w:ascii="Tahoma" w:hAnsi="Tahoma"/>
          <w:b/>
          <w:bCs/>
        </w:rPr>
        <w:t>dosław Wejdner, tel. 508-079-440</w:t>
      </w:r>
      <w:r w:rsidR="00805DDE" w:rsidRPr="00554BBA">
        <w:rPr>
          <w:rFonts w:ascii="Tahoma" w:hAnsi="Tahoma"/>
          <w:b/>
          <w:bCs/>
        </w:rPr>
        <w:t>.</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48C43E52"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B72EEE" w:rsidRPr="0041440F">
        <w:rPr>
          <w:rFonts w:ascii="Tahoma" w:hAnsi="Tahoma" w:cs="Tahoma"/>
          <w:b/>
          <w:i/>
          <w:sz w:val="22"/>
          <w:szCs w:val="22"/>
          <w:lang w:val="pl-PL"/>
        </w:rPr>
        <w:t xml:space="preserve">Uzbrojenie terenów inwestycyjnych Koryta” – </w:t>
      </w:r>
      <w:r w:rsidR="00B72EEE">
        <w:rPr>
          <w:rFonts w:ascii="Tahoma" w:hAnsi="Tahoma" w:cs="Tahoma"/>
          <w:b/>
          <w:i/>
          <w:sz w:val="22"/>
          <w:szCs w:val="22"/>
          <w:lang w:val="pl-PL"/>
        </w:rPr>
        <w:t>modernizacja</w:t>
      </w:r>
      <w:r w:rsidR="00B72EEE" w:rsidRPr="0041440F">
        <w:rPr>
          <w:rFonts w:ascii="Tahoma" w:hAnsi="Tahoma" w:cs="Tahoma"/>
          <w:b/>
          <w:i/>
          <w:sz w:val="22"/>
          <w:szCs w:val="22"/>
          <w:lang w:val="pl-PL"/>
        </w:rPr>
        <w:t xml:space="preserve"> systemu zaopatrzenia w wodę</w:t>
      </w:r>
      <w:r w:rsidR="00B72EEE">
        <w:rPr>
          <w:rFonts w:ascii="Tahoma" w:hAnsi="Tahoma" w:cs="Tahoma"/>
          <w:b/>
          <w:i/>
          <w:sz w:val="22"/>
          <w:szCs w:val="22"/>
          <w:lang w:val="pl-PL"/>
        </w:rPr>
        <w:t xml:space="preserve"> – wykonanie otworów wiertniczych w celu ujęcia wód podziemnych</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15012D4D" w:rsidR="00805DDE" w:rsidRDefault="000A1350"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03</w:t>
      </w:r>
      <w:r w:rsidR="00B72EEE" w:rsidRPr="00954869">
        <w:rPr>
          <w:rFonts w:ascii="Tahoma" w:hAnsi="Tahoma"/>
          <w:b/>
          <w:sz w:val="22"/>
          <w:lang w:val="pl-PL"/>
        </w:rPr>
        <w:t>.0</w:t>
      </w:r>
      <w:r>
        <w:rPr>
          <w:rFonts w:ascii="Tahoma" w:hAnsi="Tahoma"/>
          <w:b/>
          <w:sz w:val="22"/>
          <w:lang w:val="pl-PL"/>
        </w:rPr>
        <w:t>7</w:t>
      </w:r>
      <w:r w:rsidR="00AC4EB3" w:rsidRPr="00954869">
        <w:rPr>
          <w:rFonts w:ascii="Tahoma" w:hAnsi="Tahoma"/>
          <w:b/>
          <w:sz w:val="22"/>
          <w:lang w:val="pl-PL"/>
        </w:rPr>
        <w:t>.2018</w:t>
      </w:r>
      <w:r w:rsidR="00805DDE" w:rsidRPr="00954869">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 xml:space="preserve">osobę/osoby upoważnione do reprezentowania Wykonawcy w obrocie prawnym zgodnie z danymi ujawnionymi w KRS – rejestrze przedsiębiorców albo w </w:t>
      </w:r>
      <w:r>
        <w:rPr>
          <w:rFonts w:ascii="Tahoma" w:hAnsi="Tahoma" w:cs="Verdana"/>
          <w:b/>
          <w:bCs/>
          <w:sz w:val="22"/>
          <w:lang w:val="pl-PL"/>
        </w:rPr>
        <w:lastRenderedPageBreak/>
        <w:t>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77777777"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xml:space="preserve">. z 2003 r. nr 153, poz.1503,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jedną ofertę. Wykonawca, który przedłoży więcej niż jedną ofertę zostanie wykluczony z postępowania.</w:t>
      </w:r>
    </w:p>
    <w:p w14:paraId="469BF363"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805DDE">
      <w:pPr>
        <w:widowControl/>
        <w:numPr>
          <w:ilvl w:val="0"/>
          <w:numId w:val="34"/>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805DDE">
      <w:pPr>
        <w:widowControl/>
        <w:numPr>
          <w:ilvl w:val="0"/>
          <w:numId w:val="34"/>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r>
        <w:rPr>
          <w:rFonts w:ascii="Tahoma" w:hAnsi="Tahoma"/>
          <w:sz w:val="22"/>
          <w:szCs w:val="22"/>
        </w:rPr>
        <w:lastRenderedPageBreak/>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805DDE">
      <w:pPr>
        <w:widowControl/>
        <w:numPr>
          <w:ilvl w:val="0"/>
          <w:numId w:val="35"/>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805DDE">
      <w:pPr>
        <w:widowControl/>
        <w:numPr>
          <w:ilvl w:val="0"/>
          <w:numId w:val="35"/>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805DDE">
      <w:pPr>
        <w:widowControl/>
        <w:numPr>
          <w:ilvl w:val="0"/>
          <w:numId w:val="35"/>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06F92E2A" w:rsidR="00805DDE" w:rsidRPr="00954869" w:rsidRDefault="00227887" w:rsidP="00805DDE">
      <w:pPr>
        <w:pStyle w:val="Tekstpodstawowy"/>
        <w:numPr>
          <w:ilvl w:val="0"/>
          <w:numId w:val="13"/>
        </w:numPr>
        <w:tabs>
          <w:tab w:val="left" w:pos="-31480"/>
          <w:tab w:val="left" w:pos="2268"/>
        </w:tabs>
        <w:spacing w:after="0" w:line="300" w:lineRule="auto"/>
        <w:ind w:left="567" w:hanging="567"/>
        <w:jc w:val="both"/>
        <w:rPr>
          <w:rFonts w:ascii="Tahoma" w:hAnsi="Tahoma"/>
          <w:b/>
          <w:bCs/>
          <w:sz w:val="22"/>
          <w:szCs w:val="22"/>
          <w:lang w:val="pl-PL"/>
        </w:rPr>
      </w:pPr>
      <w:r w:rsidRPr="00954869">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954869">
          <w:rPr>
            <w:rFonts w:ascii="Tahoma" w:hAnsi="Tahoma" w:cs="Times New Roman"/>
            <w:b/>
            <w:bCs/>
            <w:sz w:val="22"/>
            <w:lang w:val="pl-PL"/>
          </w:rPr>
          <w:t>34 A</w:t>
        </w:r>
      </w:smartTag>
      <w:r w:rsidRPr="00954869">
        <w:rPr>
          <w:rFonts w:ascii="Tahoma" w:hAnsi="Tahoma" w:cs="Times New Roman"/>
          <w:b/>
          <w:bCs/>
          <w:sz w:val="22"/>
          <w:lang w:val="pl-PL"/>
        </w:rPr>
        <w:t xml:space="preserve"> , sekretariat I piętro,</w:t>
      </w:r>
      <w:r w:rsidRPr="00954869">
        <w:rPr>
          <w:rFonts w:ascii="Tahoma" w:hAnsi="Tahoma" w:cs="Times New Roman"/>
          <w:b/>
          <w:bCs/>
          <w:color w:val="FF0000"/>
          <w:sz w:val="22"/>
          <w:lang w:val="pl-PL"/>
        </w:rPr>
        <w:t xml:space="preserve"> </w:t>
      </w:r>
      <w:r w:rsidRPr="00954869">
        <w:rPr>
          <w:rFonts w:ascii="Tahoma" w:hAnsi="Tahoma" w:cs="Times New Roman"/>
          <w:b/>
          <w:bCs/>
          <w:sz w:val="22"/>
          <w:lang w:val="pl-PL"/>
        </w:rPr>
        <w:t>w terminie do dnia</w:t>
      </w:r>
      <w:r w:rsidRPr="00954869">
        <w:rPr>
          <w:rFonts w:ascii="Tahoma" w:hAnsi="Tahoma"/>
          <w:b/>
          <w:bCs/>
          <w:sz w:val="22"/>
          <w:szCs w:val="22"/>
          <w:lang w:val="pl-PL"/>
        </w:rPr>
        <w:t xml:space="preserve"> </w:t>
      </w:r>
      <w:r w:rsidR="00B30885" w:rsidRPr="00954869">
        <w:rPr>
          <w:rFonts w:ascii="Tahoma" w:hAnsi="Tahoma"/>
          <w:b/>
          <w:bCs/>
          <w:sz w:val="22"/>
          <w:szCs w:val="22"/>
          <w:lang w:val="pl-PL"/>
        </w:rPr>
        <w:t xml:space="preserve">do dnia </w:t>
      </w:r>
      <w:r w:rsidR="002A3EE2">
        <w:rPr>
          <w:rFonts w:ascii="Tahoma" w:hAnsi="Tahoma"/>
          <w:b/>
          <w:bCs/>
          <w:sz w:val="22"/>
          <w:szCs w:val="22"/>
          <w:lang w:val="pl-PL"/>
        </w:rPr>
        <w:t>03</w:t>
      </w:r>
      <w:r w:rsidR="00B72EEE" w:rsidRPr="00954869">
        <w:rPr>
          <w:rFonts w:ascii="Tahoma" w:hAnsi="Tahoma"/>
          <w:b/>
          <w:bCs/>
          <w:sz w:val="22"/>
          <w:szCs w:val="22"/>
          <w:lang w:val="pl-PL"/>
        </w:rPr>
        <w:t>.0</w:t>
      </w:r>
      <w:r w:rsidR="002A3EE2">
        <w:rPr>
          <w:rFonts w:ascii="Tahoma" w:hAnsi="Tahoma"/>
          <w:b/>
          <w:bCs/>
          <w:sz w:val="22"/>
          <w:szCs w:val="22"/>
          <w:lang w:val="pl-PL"/>
        </w:rPr>
        <w:t>7.</w:t>
      </w:r>
      <w:r w:rsidR="00AC4EB3" w:rsidRPr="00954869">
        <w:rPr>
          <w:rFonts w:ascii="Tahoma" w:hAnsi="Tahoma"/>
          <w:b/>
          <w:bCs/>
          <w:sz w:val="22"/>
          <w:szCs w:val="22"/>
          <w:lang w:val="pl-PL"/>
        </w:rPr>
        <w:t>2018</w:t>
      </w:r>
      <w:r w:rsidR="00805DDE" w:rsidRPr="00954869">
        <w:rPr>
          <w:rFonts w:ascii="Tahoma" w:hAnsi="Tahoma"/>
          <w:b/>
          <w:bCs/>
          <w:sz w:val="22"/>
          <w:szCs w:val="22"/>
          <w:lang w:val="pl-PL"/>
        </w:rPr>
        <w:t xml:space="preserve"> roku, godz. 10:00 </w:t>
      </w:r>
    </w:p>
    <w:p w14:paraId="4E1D572F" w14:textId="77777777" w:rsidR="00805DDE" w:rsidRDefault="00805DDE" w:rsidP="00805DDE">
      <w:pPr>
        <w:numPr>
          <w:ilvl w:val="0"/>
          <w:numId w:val="13"/>
        </w:numPr>
        <w:tabs>
          <w:tab w:val="left" w:pos="-31480"/>
          <w:tab w:val="left" w:pos="2268"/>
        </w:tabs>
        <w:spacing w:line="300" w:lineRule="auto"/>
        <w:ind w:left="567" w:hanging="567"/>
        <w:jc w:val="both"/>
        <w:rPr>
          <w:rFonts w:ascii="Tahoma" w:hAnsi="Tahoma"/>
          <w:sz w:val="22"/>
          <w:szCs w:val="22"/>
          <w:lang w:val="pl-PL"/>
        </w:rPr>
      </w:pPr>
      <w:r>
        <w:rPr>
          <w:rFonts w:ascii="Tahoma" w:hAnsi="Tahoma"/>
          <w:sz w:val="22"/>
          <w:szCs w:val="22"/>
          <w:lang w:val="pl-PL"/>
        </w:rPr>
        <w:lastRenderedPageBreak/>
        <w:t>Złożona oferta zostanie zarejestrowana (dzień, godzina) oraz otrzyma kolejny numer.</w:t>
      </w:r>
    </w:p>
    <w:p w14:paraId="56A67CB1" w14:textId="03819CB4" w:rsidR="00805DDE" w:rsidRDefault="00805DDE" w:rsidP="00805DDE">
      <w:pPr>
        <w:spacing w:line="300" w:lineRule="auto"/>
        <w:ind w:left="567"/>
        <w:rPr>
          <w:rFonts w:ascii="Tahoma" w:hAnsi="Tahoma"/>
          <w:b/>
          <w:sz w:val="22"/>
          <w:szCs w:val="22"/>
          <w:lang w:val="pl-PL"/>
        </w:rPr>
      </w:pPr>
      <w:r>
        <w:rPr>
          <w:rFonts w:ascii="Tahoma" w:hAnsi="Tahoma"/>
          <w:b/>
          <w:sz w:val="22"/>
          <w:szCs w:val="22"/>
          <w:lang w:val="pl-PL"/>
        </w:rPr>
        <w:t xml:space="preserve">Otwarcie ofert nastąpi </w:t>
      </w:r>
      <w:r>
        <w:rPr>
          <w:rFonts w:ascii="Tahoma" w:hAnsi="Tahoma"/>
          <w:sz w:val="22"/>
          <w:szCs w:val="22"/>
          <w:lang w:val="pl-PL"/>
        </w:rPr>
        <w:t xml:space="preserve">w </w:t>
      </w:r>
      <w:r w:rsidR="00227887">
        <w:rPr>
          <w:rFonts w:ascii="Tahoma" w:hAnsi="Tahoma" w:cs="Times New Roman"/>
          <w:b/>
          <w:bCs/>
          <w:sz w:val="22"/>
          <w:lang w:val="pl-PL"/>
        </w:rPr>
        <w:t>Urzędzie Gminy Daszyna, Daszyna 34A</w:t>
      </w:r>
      <w:r>
        <w:rPr>
          <w:rFonts w:ascii="Tahoma" w:hAnsi="Tahoma"/>
          <w:sz w:val="22"/>
          <w:szCs w:val="22"/>
          <w:lang w:val="pl-PL"/>
        </w:rPr>
        <w:t>, sala konferencyjna</w:t>
      </w:r>
      <w:r w:rsidRPr="0083377F">
        <w:rPr>
          <w:rFonts w:ascii="Tahoma" w:hAnsi="Tahoma"/>
          <w:sz w:val="22"/>
          <w:szCs w:val="22"/>
          <w:lang w:val="pl-PL"/>
        </w:rPr>
        <w:t xml:space="preserve">, </w:t>
      </w:r>
      <w:r w:rsidR="0017305E" w:rsidRPr="0083377F">
        <w:rPr>
          <w:rFonts w:ascii="Tahoma" w:hAnsi="Tahoma"/>
          <w:b/>
          <w:sz w:val="22"/>
          <w:szCs w:val="22"/>
          <w:lang w:val="pl-PL"/>
        </w:rPr>
        <w:t xml:space="preserve">dnia </w:t>
      </w:r>
      <w:r w:rsidR="00526C24">
        <w:rPr>
          <w:rFonts w:ascii="Tahoma" w:hAnsi="Tahoma"/>
          <w:b/>
          <w:sz w:val="22"/>
          <w:szCs w:val="22"/>
          <w:lang w:val="pl-PL"/>
        </w:rPr>
        <w:t>03</w:t>
      </w:r>
      <w:r w:rsidR="00B72EEE" w:rsidRPr="0083377F">
        <w:rPr>
          <w:rFonts w:ascii="Tahoma" w:hAnsi="Tahoma"/>
          <w:b/>
          <w:sz w:val="22"/>
          <w:szCs w:val="22"/>
          <w:lang w:val="pl-PL"/>
        </w:rPr>
        <w:t>.0</w:t>
      </w:r>
      <w:r w:rsidR="00526C24">
        <w:rPr>
          <w:rFonts w:ascii="Tahoma" w:hAnsi="Tahoma"/>
          <w:b/>
          <w:sz w:val="22"/>
          <w:szCs w:val="22"/>
          <w:lang w:val="pl-PL"/>
        </w:rPr>
        <w:t>7</w:t>
      </w:r>
      <w:r w:rsidR="00AC4EB3" w:rsidRPr="0083377F">
        <w:rPr>
          <w:rFonts w:ascii="Tahoma" w:hAnsi="Tahoma"/>
          <w:b/>
          <w:sz w:val="22"/>
          <w:szCs w:val="22"/>
          <w:lang w:val="pl-PL"/>
        </w:rPr>
        <w:t>.2018</w:t>
      </w:r>
      <w:r w:rsidRPr="0083377F">
        <w:rPr>
          <w:rFonts w:ascii="Tahoma" w:hAnsi="Tahoma"/>
          <w:b/>
          <w:sz w:val="22"/>
          <w:szCs w:val="22"/>
          <w:lang w:val="pl-PL"/>
        </w:rPr>
        <w:t xml:space="preserve"> roku, godz.</w:t>
      </w:r>
      <w:r>
        <w:rPr>
          <w:rFonts w:ascii="Tahoma" w:hAnsi="Tahoma"/>
          <w:b/>
          <w:sz w:val="22"/>
          <w:szCs w:val="22"/>
          <w:lang w:val="pl-PL"/>
        </w:rPr>
        <w:t xml:space="preserve"> 10:30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b/>
          <w:sz w:val="22"/>
          <w:szCs w:val="22"/>
          <w:lang w:val="pl-PL"/>
        </w:rPr>
        <w:t xml:space="preserve">UWAGA – </w:t>
      </w:r>
      <w:r>
        <w:rPr>
          <w:rFonts w:ascii="Tahoma" w:hAnsi="Tahoma"/>
          <w:sz w:val="22"/>
          <w:szCs w:val="22"/>
          <w:lang w:val="pl-PL"/>
        </w:rPr>
        <w:t>za termin złożenia oferty przyjmuje się datę i godzinę wpływu oferty do Zamawiającego.</w:t>
      </w:r>
    </w:p>
    <w:p w14:paraId="2A6FD5E9" w14:textId="77777777" w:rsidR="00805DDE" w:rsidRDefault="00805DDE" w:rsidP="00805DDE">
      <w:pPr>
        <w:numPr>
          <w:ilvl w:val="0"/>
          <w:numId w:val="13"/>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lastRenderedPageBreak/>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77777777"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lastRenderedPageBreak/>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805DDE">
      <w:pPr>
        <w:numPr>
          <w:ilvl w:val="0"/>
          <w:numId w:val="36"/>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805DDE">
      <w:pPr>
        <w:numPr>
          <w:ilvl w:val="0"/>
          <w:numId w:val="36"/>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805DDE">
      <w:pPr>
        <w:numPr>
          <w:ilvl w:val="0"/>
          <w:numId w:val="14"/>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805DDE">
      <w:pPr>
        <w:numPr>
          <w:ilvl w:val="0"/>
          <w:numId w:val="14"/>
        </w:numPr>
        <w:spacing w:line="300" w:lineRule="auto"/>
        <w:rPr>
          <w:rFonts w:ascii="Tahoma" w:hAnsi="Tahoma"/>
          <w:sz w:val="22"/>
          <w:lang w:val="pl-PL"/>
        </w:rPr>
      </w:pPr>
      <w:r>
        <w:rPr>
          <w:rFonts w:ascii="Tahoma" w:hAnsi="Tahoma"/>
          <w:sz w:val="22"/>
          <w:lang w:val="pl-PL"/>
        </w:rPr>
        <w:t xml:space="preserve">określonego w ust. 2 pkt b) – UDZIELONA GWARANCJA będzie brał pod uwagę </w:t>
      </w:r>
      <w:r>
        <w:rPr>
          <w:rFonts w:ascii="Tahoma" w:hAnsi="Tahoma"/>
          <w:sz w:val="22"/>
          <w:lang w:val="pl-PL"/>
        </w:rPr>
        <w:lastRenderedPageBreak/>
        <w:t>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805DDE">
      <w:pPr>
        <w:widowControl/>
        <w:numPr>
          <w:ilvl w:val="0"/>
          <w:numId w:val="36"/>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805DDE">
      <w:pPr>
        <w:widowControl/>
        <w:numPr>
          <w:ilvl w:val="0"/>
          <w:numId w:val="36"/>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przyzna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805DDE">
      <w:pPr>
        <w:pStyle w:val="Numery1"/>
        <w:numPr>
          <w:ilvl w:val="0"/>
          <w:numId w:val="37"/>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lastRenderedPageBreak/>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805DDE">
      <w:pPr>
        <w:pStyle w:val="Numery1"/>
        <w:numPr>
          <w:ilvl w:val="0"/>
          <w:numId w:val="37"/>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1F42DB4C" w14:textId="77777777" w:rsidR="00D605B8" w:rsidRDefault="00D605B8" w:rsidP="00D605B8">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62E3A7E2" w14:textId="77777777" w:rsidR="00D605B8" w:rsidRDefault="00D605B8" w:rsidP="00D605B8">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5E945802"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D605B8">
        <w:rPr>
          <w:rFonts w:ascii="Tahoma" w:hAnsi="Tahoma"/>
          <w:sz w:val="22"/>
          <w:lang w:val="pl-PL"/>
        </w:rPr>
        <w:t>PPI.</w:t>
      </w:r>
      <w:r w:rsidR="00D605B8" w:rsidRPr="00D605B8">
        <w:rPr>
          <w:rFonts w:ascii="Tahoma" w:hAnsi="Tahoma"/>
          <w:sz w:val="22"/>
          <w:lang w:val="pl-PL"/>
        </w:rPr>
        <w:t>271.10.2018</w:t>
      </w:r>
      <w:r w:rsidRPr="00D605B8">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805DDE">
      <w:pPr>
        <w:numPr>
          <w:ilvl w:val="0"/>
          <w:numId w:val="15"/>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805DDE">
      <w:pPr>
        <w:numPr>
          <w:ilvl w:val="0"/>
          <w:numId w:val="15"/>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t>
      </w:r>
      <w:r>
        <w:rPr>
          <w:rFonts w:ascii="Tahoma" w:hAnsi="Tahoma"/>
          <w:sz w:val="22"/>
          <w:szCs w:val="22"/>
          <w:lang w:val="pl-PL"/>
        </w:rPr>
        <w:lastRenderedPageBreak/>
        <w:t xml:space="preserve">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805DDE">
      <w:pPr>
        <w:numPr>
          <w:ilvl w:val="0"/>
          <w:numId w:val="15"/>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805DDE">
      <w:pPr>
        <w:numPr>
          <w:ilvl w:val="0"/>
          <w:numId w:val="42"/>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805DDE">
      <w:pPr>
        <w:numPr>
          <w:ilvl w:val="0"/>
          <w:numId w:val="42"/>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805DDE">
      <w:pPr>
        <w:numPr>
          <w:ilvl w:val="2"/>
          <w:numId w:val="42"/>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805DDE">
      <w:pPr>
        <w:numPr>
          <w:ilvl w:val="2"/>
          <w:numId w:val="42"/>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805DDE">
      <w:pPr>
        <w:widowControl/>
        <w:numPr>
          <w:ilvl w:val="0"/>
          <w:numId w:val="38"/>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lastRenderedPageBreak/>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805DDE">
      <w:pPr>
        <w:widowControl/>
        <w:numPr>
          <w:ilvl w:val="0"/>
          <w:numId w:val="38"/>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805DDE">
      <w:pPr>
        <w:widowControl/>
        <w:numPr>
          <w:ilvl w:val="0"/>
          <w:numId w:val="38"/>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37F6CBB8" w14:textId="77777777" w:rsidR="00C867AB" w:rsidRDefault="00C867AB" w:rsidP="00805DDE">
      <w:pPr>
        <w:rPr>
          <w:rFonts w:ascii="Verdana" w:hAnsi="Verdana"/>
          <w:i/>
          <w:lang w:val="pl-PL"/>
        </w:rPr>
      </w:pPr>
    </w:p>
    <w:p w14:paraId="47FED434" w14:textId="77777777" w:rsidR="007C2EF9" w:rsidRDefault="007C2EF9"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1C3B8982" w:rsidR="006E6E84" w:rsidRDefault="006E6E84" w:rsidP="006E6E84">
      <w:pPr>
        <w:spacing w:line="300" w:lineRule="auto"/>
        <w:jc w:val="both"/>
        <w:rPr>
          <w:rFonts w:ascii="Tahoma" w:hAnsi="Tahoma" w:cs="Times New Roman"/>
          <w:sz w:val="22"/>
          <w:lang w:val="pl-PL"/>
        </w:rPr>
      </w:pPr>
      <w:r>
        <w:rPr>
          <w:rFonts w:ascii="Tahoma" w:hAnsi="Tahoma" w:cs="Times New Roman"/>
          <w:sz w:val="22"/>
          <w:lang w:val="pl-PL"/>
        </w:rPr>
        <w:t xml:space="preserve">- </w:t>
      </w:r>
      <w:r w:rsidR="00B72EEE">
        <w:rPr>
          <w:rFonts w:ascii="Tahoma" w:hAnsi="Tahoma" w:cs="Times New Roman"/>
          <w:sz w:val="22"/>
          <w:lang w:val="pl-PL"/>
        </w:rPr>
        <w:t>wykonanie minimum 1 otworu wiertniczego na głębokości minimum 180 m</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355AA6DE"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61329285" w:rsidR="00277B97" w:rsidRDefault="00277B97"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5191EB62" w14:textId="33C5BDF4" w:rsidR="00277B97" w:rsidRDefault="00277B97" w:rsidP="00277B97">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F4AFADA"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11AB1" w14:textId="77777777" w:rsidR="00C71C79" w:rsidRDefault="00C71C79" w:rsidP="00D75E8F">
      <w:pPr>
        <w:spacing w:line="240" w:lineRule="auto"/>
      </w:pPr>
      <w:r>
        <w:separator/>
      </w:r>
    </w:p>
  </w:endnote>
  <w:endnote w:type="continuationSeparator" w:id="0">
    <w:p w14:paraId="35026B06" w14:textId="77777777" w:rsidR="00C71C79" w:rsidRDefault="00C71C79"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TimesNewRoman">
    <w:altName w:val="MS Mincho"/>
    <w:charset w:val="80"/>
    <w:family w:val="auto"/>
    <w:pitch w:val="default"/>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EndPr/>
    <w:sdtContent>
      <w:p w14:paraId="5481DFF3" w14:textId="6C22539B" w:rsidR="001417C6" w:rsidRDefault="001417C6">
        <w:pPr>
          <w:pStyle w:val="Stopka"/>
        </w:pPr>
        <w:r>
          <w:fldChar w:fldCharType="begin"/>
        </w:r>
        <w:r>
          <w:instrText>PAGE   \* MERGEFORMAT</w:instrText>
        </w:r>
        <w:r>
          <w:fldChar w:fldCharType="separate"/>
        </w:r>
        <w:r w:rsidR="00711101" w:rsidRPr="00711101">
          <w:rPr>
            <w:noProof/>
            <w:lang w:val="pl-PL"/>
          </w:rPr>
          <w:t>21</w:t>
        </w:r>
        <w:r>
          <w:fldChar w:fldCharType="end"/>
        </w:r>
      </w:p>
    </w:sdtContent>
  </w:sdt>
  <w:p w14:paraId="516B8693" w14:textId="77777777" w:rsidR="001417C6" w:rsidRDefault="001417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DB4B2" w14:textId="77777777" w:rsidR="00C71C79" w:rsidRDefault="00C71C79" w:rsidP="00D75E8F">
      <w:pPr>
        <w:spacing w:line="240" w:lineRule="auto"/>
      </w:pPr>
      <w:r>
        <w:separator/>
      </w:r>
    </w:p>
  </w:footnote>
  <w:footnote w:type="continuationSeparator" w:id="0">
    <w:p w14:paraId="66112FF7" w14:textId="77777777" w:rsidR="00C71C79" w:rsidRDefault="00C71C79"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BC37735"/>
    <w:multiLevelType w:val="multilevel"/>
    <w:tmpl w:val="E4C60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E6213D"/>
    <w:multiLevelType w:val="hybridMultilevel"/>
    <w:tmpl w:val="B84A8D7C"/>
    <w:lvl w:ilvl="0" w:tplc="757475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4D2889"/>
    <w:multiLevelType w:val="hybridMultilevel"/>
    <w:tmpl w:val="F5046396"/>
    <w:lvl w:ilvl="0" w:tplc="9DD4762C">
      <w:start w:val="3"/>
      <w:numFmt w:val="bullet"/>
      <w:lvlText w:val="-"/>
      <w:lvlJc w:val="left"/>
      <w:pPr>
        <w:ind w:left="720" w:hanging="360"/>
      </w:pPr>
      <w:rPr>
        <w:rFonts w:ascii="Tahoma" w:eastAsia="Arial Unicode MS"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7C804F8"/>
    <w:multiLevelType w:val="singleLevel"/>
    <w:tmpl w:val="F7BA4754"/>
    <w:lvl w:ilvl="0">
      <w:start w:val="1"/>
      <w:numFmt w:val="decimal"/>
      <w:lvlText w:val="%1."/>
      <w:lvlJc w:val="left"/>
      <w:pPr>
        <w:tabs>
          <w:tab w:val="num" w:pos="927"/>
        </w:tabs>
        <w:ind w:left="927" w:hanging="360"/>
      </w:pPr>
      <w:rPr>
        <w:rFonts w:hint="default"/>
        <w:b w:val="0"/>
        <w:color w:val="auto"/>
      </w:rPr>
    </w:lvl>
  </w:abstractNum>
  <w:abstractNum w:abstractNumId="48">
    <w:nsid w:val="51346EE0"/>
    <w:multiLevelType w:val="hybridMultilevel"/>
    <w:tmpl w:val="6CFA5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2"/>
  </w:num>
  <w:num w:numId="41">
    <w:abstractNumId w:val="40"/>
  </w:num>
  <w:num w:numId="42">
    <w:abstractNumId w:val="41"/>
  </w:num>
  <w:num w:numId="43">
    <w:abstractNumId w:val="43"/>
  </w:num>
  <w:num w:numId="44">
    <w:abstractNumId w:val="44"/>
  </w:num>
  <w:num w:numId="45">
    <w:abstractNumId w:val="45"/>
  </w:num>
  <w:num w:numId="46">
    <w:abstractNumId w:val="39"/>
  </w:num>
  <w:num w:numId="47">
    <w:abstractNumId w:val="46"/>
  </w:num>
  <w:num w:numId="48">
    <w:abstractNumId w:val="48"/>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99"/>
    <w:rsid w:val="000144DE"/>
    <w:rsid w:val="00015AF0"/>
    <w:rsid w:val="00016663"/>
    <w:rsid w:val="0001723F"/>
    <w:rsid w:val="00021592"/>
    <w:rsid w:val="00021908"/>
    <w:rsid w:val="000222CE"/>
    <w:rsid w:val="00022BAD"/>
    <w:rsid w:val="00022FAB"/>
    <w:rsid w:val="000232B6"/>
    <w:rsid w:val="00025E7C"/>
    <w:rsid w:val="00026052"/>
    <w:rsid w:val="00026352"/>
    <w:rsid w:val="000267DC"/>
    <w:rsid w:val="00030DF7"/>
    <w:rsid w:val="00032B46"/>
    <w:rsid w:val="00033894"/>
    <w:rsid w:val="000338A7"/>
    <w:rsid w:val="0003522D"/>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3687"/>
    <w:rsid w:val="00096C43"/>
    <w:rsid w:val="000A1350"/>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17C6"/>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0F2"/>
    <w:rsid w:val="001A1A57"/>
    <w:rsid w:val="001A2440"/>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3814"/>
    <w:rsid w:val="001D45E5"/>
    <w:rsid w:val="001D48DA"/>
    <w:rsid w:val="001D5559"/>
    <w:rsid w:val="001D5EBB"/>
    <w:rsid w:val="001D72F3"/>
    <w:rsid w:val="001D736A"/>
    <w:rsid w:val="001D7DDE"/>
    <w:rsid w:val="001E1A32"/>
    <w:rsid w:val="001E2D1D"/>
    <w:rsid w:val="001E3670"/>
    <w:rsid w:val="001E62A2"/>
    <w:rsid w:val="001F02A6"/>
    <w:rsid w:val="001F2175"/>
    <w:rsid w:val="001F2965"/>
    <w:rsid w:val="001F394A"/>
    <w:rsid w:val="001F408F"/>
    <w:rsid w:val="001F4C43"/>
    <w:rsid w:val="0020246D"/>
    <w:rsid w:val="00202641"/>
    <w:rsid w:val="002027D9"/>
    <w:rsid w:val="002029D2"/>
    <w:rsid w:val="00204694"/>
    <w:rsid w:val="0020501F"/>
    <w:rsid w:val="00211152"/>
    <w:rsid w:val="002113EC"/>
    <w:rsid w:val="00212034"/>
    <w:rsid w:val="002124A4"/>
    <w:rsid w:val="00213E24"/>
    <w:rsid w:val="00214878"/>
    <w:rsid w:val="002151A7"/>
    <w:rsid w:val="00215532"/>
    <w:rsid w:val="00215F4D"/>
    <w:rsid w:val="0021683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755B"/>
    <w:rsid w:val="00237C32"/>
    <w:rsid w:val="00237E42"/>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3EE2"/>
    <w:rsid w:val="002A51F5"/>
    <w:rsid w:val="002A5B5C"/>
    <w:rsid w:val="002A6334"/>
    <w:rsid w:val="002A6F8B"/>
    <w:rsid w:val="002A78CA"/>
    <w:rsid w:val="002A7997"/>
    <w:rsid w:val="002A7BDB"/>
    <w:rsid w:val="002B09FA"/>
    <w:rsid w:val="002B1BAB"/>
    <w:rsid w:val="002B1D63"/>
    <w:rsid w:val="002B1F96"/>
    <w:rsid w:val="002B3A80"/>
    <w:rsid w:val="002C7523"/>
    <w:rsid w:val="002D0257"/>
    <w:rsid w:val="002D187C"/>
    <w:rsid w:val="002D2919"/>
    <w:rsid w:val="002D2F79"/>
    <w:rsid w:val="002D31F6"/>
    <w:rsid w:val="002D3D0F"/>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3EC"/>
    <w:rsid w:val="003F1453"/>
    <w:rsid w:val="003F157E"/>
    <w:rsid w:val="003F25CD"/>
    <w:rsid w:val="003F3094"/>
    <w:rsid w:val="003F450D"/>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FD2"/>
    <w:rsid w:val="004139B0"/>
    <w:rsid w:val="00413FB8"/>
    <w:rsid w:val="0041440F"/>
    <w:rsid w:val="00415156"/>
    <w:rsid w:val="00415A58"/>
    <w:rsid w:val="0041612F"/>
    <w:rsid w:val="004174E2"/>
    <w:rsid w:val="00421AE1"/>
    <w:rsid w:val="00421BD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636"/>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0F90"/>
    <w:rsid w:val="00521527"/>
    <w:rsid w:val="005257F8"/>
    <w:rsid w:val="00526C24"/>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3A14"/>
    <w:rsid w:val="00663F78"/>
    <w:rsid w:val="006643F9"/>
    <w:rsid w:val="006646AD"/>
    <w:rsid w:val="00664C84"/>
    <w:rsid w:val="00664D5C"/>
    <w:rsid w:val="00665A42"/>
    <w:rsid w:val="00665AE4"/>
    <w:rsid w:val="00667E12"/>
    <w:rsid w:val="00670BE2"/>
    <w:rsid w:val="00671271"/>
    <w:rsid w:val="00671919"/>
    <w:rsid w:val="006731E4"/>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97F09"/>
    <w:rsid w:val="006A0B34"/>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CCA"/>
    <w:rsid w:val="00703833"/>
    <w:rsid w:val="00703994"/>
    <w:rsid w:val="00706086"/>
    <w:rsid w:val="00710105"/>
    <w:rsid w:val="00711072"/>
    <w:rsid w:val="00711101"/>
    <w:rsid w:val="00711333"/>
    <w:rsid w:val="007117D1"/>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5B72"/>
    <w:rsid w:val="007F6318"/>
    <w:rsid w:val="0080036F"/>
    <w:rsid w:val="00803490"/>
    <w:rsid w:val="00804D00"/>
    <w:rsid w:val="00805DDE"/>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3377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1940"/>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2A0"/>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354A"/>
    <w:rsid w:val="0090428C"/>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4869"/>
    <w:rsid w:val="00954CC9"/>
    <w:rsid w:val="009552FD"/>
    <w:rsid w:val="00955726"/>
    <w:rsid w:val="009569D3"/>
    <w:rsid w:val="00957D86"/>
    <w:rsid w:val="00961339"/>
    <w:rsid w:val="00964422"/>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68A"/>
    <w:rsid w:val="00A54D0E"/>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3A62"/>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365B0"/>
    <w:rsid w:val="00B41CAB"/>
    <w:rsid w:val="00B41E6A"/>
    <w:rsid w:val="00B41E98"/>
    <w:rsid w:val="00B4298D"/>
    <w:rsid w:val="00B43541"/>
    <w:rsid w:val="00B435C1"/>
    <w:rsid w:val="00B44C85"/>
    <w:rsid w:val="00B44E1C"/>
    <w:rsid w:val="00B4554D"/>
    <w:rsid w:val="00B46307"/>
    <w:rsid w:val="00B47BE1"/>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2EEE"/>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0A9C"/>
    <w:rsid w:val="00BE1F2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1C79"/>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2E57"/>
    <w:rsid w:val="00C96831"/>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D7718"/>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751B"/>
    <w:rsid w:val="00D42D87"/>
    <w:rsid w:val="00D4376B"/>
    <w:rsid w:val="00D46701"/>
    <w:rsid w:val="00D50A0C"/>
    <w:rsid w:val="00D50BEE"/>
    <w:rsid w:val="00D50DE5"/>
    <w:rsid w:val="00D514D7"/>
    <w:rsid w:val="00D52D12"/>
    <w:rsid w:val="00D533AD"/>
    <w:rsid w:val="00D55523"/>
    <w:rsid w:val="00D57302"/>
    <w:rsid w:val="00D600F2"/>
    <w:rsid w:val="00D60245"/>
    <w:rsid w:val="00D605B8"/>
    <w:rsid w:val="00D613AA"/>
    <w:rsid w:val="00D61506"/>
    <w:rsid w:val="00D72050"/>
    <w:rsid w:val="00D75BD7"/>
    <w:rsid w:val="00D75E8F"/>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C01"/>
    <w:rsid w:val="00DE4F42"/>
    <w:rsid w:val="00DE56FD"/>
    <w:rsid w:val="00DE632F"/>
    <w:rsid w:val="00DE6DF5"/>
    <w:rsid w:val="00DE701B"/>
    <w:rsid w:val="00DE75CF"/>
    <w:rsid w:val="00DF3950"/>
    <w:rsid w:val="00DF4D50"/>
    <w:rsid w:val="00DF51B1"/>
    <w:rsid w:val="00DF625B"/>
    <w:rsid w:val="00E00963"/>
    <w:rsid w:val="00E00CB9"/>
    <w:rsid w:val="00E05A25"/>
    <w:rsid w:val="00E0615A"/>
    <w:rsid w:val="00E06C05"/>
    <w:rsid w:val="00E06D03"/>
    <w:rsid w:val="00E07872"/>
    <w:rsid w:val="00E10E4E"/>
    <w:rsid w:val="00E13D06"/>
    <w:rsid w:val="00E16E56"/>
    <w:rsid w:val="00E20389"/>
    <w:rsid w:val="00E237EF"/>
    <w:rsid w:val="00E2600A"/>
    <w:rsid w:val="00E2705B"/>
    <w:rsid w:val="00E27564"/>
    <w:rsid w:val="00E30161"/>
    <w:rsid w:val="00E309C6"/>
    <w:rsid w:val="00E30C1C"/>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1B31"/>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3D04"/>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daszyna@op.pl" TargetMode="External"/><Relationship Id="rId4" Type="http://schemas.microsoft.com/office/2007/relationships/stylesWithEffects" Target="stylesWithEffects.xml"/><Relationship Id="rId9" Type="http://schemas.openxmlformats.org/officeDocument/2006/relationships/hyperlink" Target="mailto:ugdaszyn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8E2D-DD81-4809-89D0-8B8AB09E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35</Pages>
  <Words>12806</Words>
  <Characters>76838</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78</cp:revision>
  <cp:lastPrinted>2018-06-14T05:50:00Z</cp:lastPrinted>
  <dcterms:created xsi:type="dcterms:W3CDTF">2016-12-07T09:19:00Z</dcterms:created>
  <dcterms:modified xsi:type="dcterms:W3CDTF">2018-06-14T05:58:00Z</dcterms:modified>
</cp:coreProperties>
</file>